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3C677" w14:textId="6C1B1810" w:rsidR="00FA678B" w:rsidRDefault="00281F65" w:rsidP="0077561F">
      <w:pPr>
        <w:spacing w:before="100" w:beforeAutospacing="1" w:after="100" w:afterAutospacing="1"/>
        <w:ind w:left="720"/>
        <w:rPr>
          <w:rFonts w:ascii="Arial" w:hAnsi="Arial" w:cs="Arial"/>
          <w:b/>
          <w:bCs/>
          <w:sz w:val="20"/>
          <w:szCs w:val="20"/>
          <w:u w:val="single"/>
        </w:rPr>
      </w:pPr>
      <w:r>
        <w:rPr>
          <w:rFonts w:ascii="Arial" w:hAnsi="Arial" w:cs="Arial"/>
          <w:b/>
          <w:bCs/>
          <w:sz w:val="20"/>
          <w:szCs w:val="20"/>
          <w:u w:val="single"/>
        </w:rPr>
        <w:t xml:space="preserve">University Startup Basic </w:t>
      </w:r>
      <w:proofErr w:type="spellStart"/>
      <w:r>
        <w:rPr>
          <w:rFonts w:ascii="Arial" w:hAnsi="Arial" w:cs="Arial"/>
          <w:b/>
          <w:bCs/>
          <w:sz w:val="20"/>
          <w:szCs w:val="20"/>
          <w:u w:val="single"/>
        </w:rPr>
        <w:t>Outlicensing</w:t>
      </w:r>
      <w:proofErr w:type="spellEnd"/>
      <w:r>
        <w:rPr>
          <w:rFonts w:ascii="Arial" w:hAnsi="Arial" w:cs="Arial"/>
          <w:b/>
          <w:bCs/>
          <w:sz w:val="20"/>
          <w:szCs w:val="20"/>
          <w:u w:val="single"/>
        </w:rPr>
        <w:t xml:space="preserve"> Template </w:t>
      </w:r>
      <w:r w:rsidR="00FA678B">
        <w:rPr>
          <w:rFonts w:ascii="Arial" w:hAnsi="Arial" w:cs="Arial"/>
          <w:b/>
          <w:bCs/>
          <w:sz w:val="20"/>
          <w:szCs w:val="20"/>
          <w:u w:val="single"/>
        </w:rPr>
        <w:t>(US-BOLT)</w:t>
      </w:r>
      <w:r w:rsidR="00FA678B">
        <w:rPr>
          <w:rFonts w:ascii="Arial" w:hAnsi="Arial" w:cs="Arial"/>
          <w:b/>
          <w:bCs/>
          <w:sz w:val="20"/>
          <w:szCs w:val="20"/>
          <w:u w:val="single"/>
        </w:rPr>
        <w:t xml:space="preserve"> </w:t>
      </w:r>
      <w:r>
        <w:rPr>
          <w:rFonts w:ascii="Arial" w:hAnsi="Arial" w:cs="Arial"/>
          <w:b/>
          <w:bCs/>
          <w:sz w:val="20"/>
          <w:szCs w:val="20"/>
          <w:u w:val="single"/>
        </w:rPr>
        <w:t xml:space="preserve">– Life Science </w:t>
      </w:r>
      <w:r w:rsidR="00FA678B" w:rsidRPr="00FA678B">
        <w:rPr>
          <w:rFonts w:ascii="Arial" w:hAnsi="Arial" w:cs="Arial"/>
          <w:b/>
          <w:bCs/>
          <w:i/>
          <w:iCs/>
          <w:sz w:val="20"/>
          <w:szCs w:val="20"/>
          <w:u w:val="single"/>
        </w:rPr>
        <w:t>Term Sheet</w:t>
      </w:r>
      <w:r w:rsidR="00FA678B">
        <w:rPr>
          <w:rFonts w:ascii="Arial" w:hAnsi="Arial" w:cs="Arial"/>
          <w:b/>
          <w:bCs/>
          <w:sz w:val="20"/>
          <w:szCs w:val="20"/>
          <w:u w:val="single"/>
        </w:rPr>
        <w:t xml:space="preserve"> </w:t>
      </w:r>
      <w:r>
        <w:rPr>
          <w:rFonts w:ascii="Arial" w:hAnsi="Arial" w:cs="Arial"/>
          <w:b/>
          <w:bCs/>
          <w:sz w:val="20"/>
          <w:szCs w:val="20"/>
          <w:u w:val="single"/>
        </w:rPr>
        <w:t>edition</w:t>
      </w:r>
      <w:r w:rsidR="00FA678B">
        <w:rPr>
          <w:rFonts w:ascii="Arial" w:hAnsi="Arial" w:cs="Arial"/>
          <w:b/>
          <w:bCs/>
          <w:sz w:val="20"/>
          <w:szCs w:val="20"/>
          <w:u w:val="single"/>
        </w:rPr>
        <w:t xml:space="preserve"> </w:t>
      </w:r>
    </w:p>
    <w:p w14:paraId="557A0478" w14:textId="78642A9D" w:rsidR="00281F65" w:rsidRPr="00FA678B" w:rsidRDefault="00FA678B" w:rsidP="0077561F">
      <w:pPr>
        <w:spacing w:before="100" w:beforeAutospacing="1" w:after="100" w:afterAutospacing="1"/>
        <w:ind w:left="720"/>
        <w:rPr>
          <w:rFonts w:ascii="Arial" w:hAnsi="Arial" w:cs="Arial"/>
          <w:b/>
          <w:bCs/>
          <w:i/>
          <w:iCs/>
          <w:sz w:val="20"/>
          <w:szCs w:val="20"/>
          <w:u w:val="single"/>
        </w:rPr>
      </w:pPr>
      <w:r w:rsidRPr="00FA678B">
        <w:rPr>
          <w:rFonts w:ascii="Arial" w:hAnsi="Arial" w:cs="Arial"/>
          <w:b/>
          <w:bCs/>
          <w:i/>
          <w:iCs/>
          <w:sz w:val="20"/>
          <w:szCs w:val="20"/>
          <w:highlight w:val="yellow"/>
          <w:u w:val="single"/>
        </w:rPr>
        <w:t>[UPDATED AS OF DEC 2023, FOR MINOR EDITS PLUS ADDITIONAL ENDORSEMENTS]</w:t>
      </w:r>
    </w:p>
    <w:p w14:paraId="1958E1F2" w14:textId="430C99ED" w:rsidR="008E2888" w:rsidRPr="00DB7230" w:rsidRDefault="008E2888" w:rsidP="0077561F">
      <w:pPr>
        <w:spacing w:before="100" w:beforeAutospacing="1" w:after="100" w:afterAutospacing="1"/>
        <w:ind w:left="720"/>
        <w:rPr>
          <w:rFonts w:ascii="Arial" w:hAnsi="Arial" w:cs="Arial"/>
          <w:b/>
          <w:bCs/>
          <w:sz w:val="20"/>
          <w:szCs w:val="20"/>
          <w:u w:val="single"/>
        </w:rPr>
      </w:pPr>
      <w:r w:rsidRPr="00DB7230">
        <w:rPr>
          <w:rFonts w:ascii="Arial" w:hAnsi="Arial" w:cs="Arial"/>
          <w:b/>
          <w:bCs/>
          <w:sz w:val="20"/>
          <w:szCs w:val="20"/>
          <w:u w:val="single"/>
        </w:rPr>
        <w:t>INTRODUCTION</w:t>
      </w:r>
    </w:p>
    <w:p w14:paraId="747FB9AB" w14:textId="499591DE" w:rsidR="007048F7" w:rsidRPr="00DB7230" w:rsidRDefault="007048F7" w:rsidP="0077561F">
      <w:pPr>
        <w:pStyle w:val="NormalWeb"/>
        <w:spacing w:before="240" w:beforeAutospacing="0" w:after="240" w:afterAutospacing="0"/>
        <w:ind w:left="720"/>
        <w:rPr>
          <w:rFonts w:ascii="Arial" w:hAnsi="Arial" w:cs="Arial"/>
          <w:sz w:val="20"/>
          <w:szCs w:val="20"/>
        </w:rPr>
      </w:pPr>
      <w:r w:rsidRPr="00DB7230">
        <w:rPr>
          <w:rFonts w:ascii="Arial" w:hAnsi="Arial" w:cs="Arial"/>
          <w:color w:val="000000"/>
          <w:sz w:val="20"/>
          <w:szCs w:val="20"/>
        </w:rPr>
        <w:t xml:space="preserve">Beginning in Spring 2020, the below listed academic institutions, investors and law firms have been working together to create a “representative” term sheet that an investor and an academic institution might use to begin discussions around launching a life science startup. The objective was to create a </w:t>
      </w:r>
      <w:r w:rsidRPr="00DB7230">
        <w:rPr>
          <w:rFonts w:ascii="Arial" w:hAnsi="Arial" w:cs="Arial"/>
          <w:i/>
          <w:color w:val="000000"/>
          <w:sz w:val="20"/>
          <w:szCs w:val="20"/>
        </w:rPr>
        <w:t>reasonable</w:t>
      </w:r>
      <w:r w:rsidRPr="00DB7230">
        <w:rPr>
          <w:rFonts w:ascii="Arial" w:hAnsi="Arial" w:cs="Arial"/>
          <w:color w:val="000000"/>
          <w:sz w:val="20"/>
          <w:szCs w:val="20"/>
        </w:rPr>
        <w:t xml:space="preserve"> approach, with terms and clauses that </w:t>
      </w:r>
      <w:r w:rsidRPr="00DB7230">
        <w:rPr>
          <w:rFonts w:ascii="Arial" w:hAnsi="Arial" w:cs="Arial"/>
          <w:i/>
          <w:color w:val="000000"/>
          <w:sz w:val="20"/>
          <w:szCs w:val="20"/>
        </w:rPr>
        <w:t xml:space="preserve">most </w:t>
      </w:r>
      <w:r w:rsidRPr="00DB7230">
        <w:rPr>
          <w:rFonts w:ascii="Arial" w:hAnsi="Arial" w:cs="Arial"/>
          <w:color w:val="000000"/>
          <w:sz w:val="20"/>
          <w:szCs w:val="20"/>
        </w:rPr>
        <w:t xml:space="preserve">parties could use in </w:t>
      </w:r>
      <w:r w:rsidRPr="00DB7230">
        <w:rPr>
          <w:rFonts w:ascii="Arial" w:hAnsi="Arial" w:cs="Arial"/>
          <w:i/>
          <w:color w:val="000000"/>
          <w:sz w:val="20"/>
          <w:szCs w:val="20"/>
        </w:rPr>
        <w:t xml:space="preserve">most </w:t>
      </w:r>
      <w:r w:rsidRPr="00DB7230">
        <w:rPr>
          <w:rFonts w:ascii="Arial" w:hAnsi="Arial" w:cs="Arial"/>
          <w:color w:val="000000"/>
          <w:sz w:val="20"/>
          <w:szCs w:val="20"/>
        </w:rPr>
        <w:t>situations</w:t>
      </w:r>
      <w:r w:rsidR="0072689B" w:rsidRPr="00DB7230">
        <w:rPr>
          <w:rFonts w:ascii="Arial" w:hAnsi="Arial" w:cs="Arial"/>
          <w:color w:val="000000"/>
          <w:sz w:val="20"/>
          <w:szCs w:val="20"/>
        </w:rPr>
        <w:t>.</w:t>
      </w:r>
      <w:r w:rsidRPr="00DB7230">
        <w:rPr>
          <w:rFonts w:ascii="Arial" w:hAnsi="Arial" w:cs="Arial"/>
          <w:color w:val="000000"/>
          <w:sz w:val="20"/>
          <w:szCs w:val="20"/>
        </w:rPr>
        <w:t xml:space="preserve"> Since that time, the </w:t>
      </w:r>
      <w:r w:rsidR="00EB03E8" w:rsidRPr="00DB7230">
        <w:rPr>
          <w:rFonts w:ascii="Arial" w:hAnsi="Arial" w:cs="Arial"/>
          <w:color w:val="000000"/>
          <w:sz w:val="20"/>
          <w:szCs w:val="20"/>
        </w:rPr>
        <w:t>creators</w:t>
      </w:r>
      <w:r w:rsidRPr="00DB7230">
        <w:rPr>
          <w:rFonts w:ascii="Arial" w:hAnsi="Arial" w:cs="Arial"/>
          <w:color w:val="000000"/>
          <w:sz w:val="20"/>
          <w:szCs w:val="20"/>
        </w:rPr>
        <w:t xml:space="preserve"> have embodied those principles into this </w:t>
      </w:r>
      <w:r w:rsidR="00420686" w:rsidRPr="00DB7230">
        <w:rPr>
          <w:rFonts w:ascii="Arial" w:hAnsi="Arial" w:cs="Arial"/>
          <w:color w:val="000000"/>
          <w:sz w:val="20"/>
          <w:szCs w:val="20"/>
        </w:rPr>
        <w:t xml:space="preserve">non-binding </w:t>
      </w:r>
      <w:r w:rsidRPr="00DB7230">
        <w:rPr>
          <w:rFonts w:ascii="Arial" w:hAnsi="Arial" w:cs="Arial"/>
          <w:color w:val="000000"/>
          <w:sz w:val="20"/>
          <w:szCs w:val="20"/>
        </w:rPr>
        <w:t xml:space="preserve">term sheet template, with </w:t>
      </w:r>
      <w:r w:rsidR="00420686" w:rsidRPr="00DB7230">
        <w:rPr>
          <w:rFonts w:ascii="Arial" w:hAnsi="Arial" w:cs="Arial"/>
          <w:color w:val="000000"/>
          <w:sz w:val="20"/>
          <w:szCs w:val="20"/>
        </w:rPr>
        <w:t xml:space="preserve">representative </w:t>
      </w:r>
      <w:r w:rsidRPr="00DB7230">
        <w:rPr>
          <w:rFonts w:ascii="Arial" w:hAnsi="Arial" w:cs="Arial"/>
          <w:color w:val="000000"/>
          <w:sz w:val="20"/>
          <w:szCs w:val="20"/>
        </w:rPr>
        <w:t>clauses, which can be downloaded and used freely by any parties that wish to do so. Through these efforts, we hope to significantly reduce the time spent negotiating these deals across the whole early-stage life science industry, which could lead to therapeutics, diagnostics, and medical devices reaching the market months or years earlier, with the resulting benefit to patients worldwide.</w:t>
      </w:r>
    </w:p>
    <w:p w14:paraId="6302C43D" w14:textId="63011F16" w:rsidR="007048F7" w:rsidRPr="00DB7230" w:rsidRDefault="007048F7" w:rsidP="0077561F">
      <w:pPr>
        <w:pStyle w:val="NormalWeb"/>
        <w:spacing w:before="240" w:beforeAutospacing="0" w:after="240" w:afterAutospacing="0"/>
        <w:ind w:left="720"/>
        <w:rPr>
          <w:rFonts w:ascii="Arial" w:hAnsi="Arial" w:cs="Arial"/>
          <w:sz w:val="20"/>
          <w:szCs w:val="20"/>
        </w:rPr>
      </w:pPr>
      <w:r w:rsidRPr="00DB7230">
        <w:rPr>
          <w:rFonts w:ascii="Arial" w:hAnsi="Arial" w:cs="Arial"/>
          <w:color w:val="000000"/>
          <w:sz w:val="20"/>
          <w:szCs w:val="20"/>
        </w:rPr>
        <w:t xml:space="preserve">One important note: we say “representative” above because the great majority of the terms herein would be considered reasonable by parties on both sides, and hence we anticipate that in many situations this term sheet could be used without significant further edits. </w:t>
      </w:r>
      <w:bookmarkStart w:id="0" w:name="_Hlk119574645"/>
      <w:r w:rsidRPr="00DB7230">
        <w:rPr>
          <w:rFonts w:ascii="Arial" w:hAnsi="Arial" w:cs="Arial"/>
          <w:color w:val="000000"/>
          <w:sz w:val="20"/>
          <w:szCs w:val="20"/>
        </w:rPr>
        <w:t xml:space="preserve">However, it should be noted that any given institution or investor may have certain preferred approaches or policies about which they may feel strongly. For instance, some institutions have strong feelings </w:t>
      </w:r>
      <w:proofErr w:type="gramStart"/>
      <w:r w:rsidRPr="00DB7230">
        <w:rPr>
          <w:rFonts w:ascii="Arial" w:hAnsi="Arial" w:cs="Arial"/>
          <w:color w:val="000000"/>
          <w:sz w:val="20"/>
          <w:szCs w:val="20"/>
        </w:rPr>
        <w:t>in particular around</w:t>
      </w:r>
      <w:proofErr w:type="gramEnd"/>
      <w:r w:rsidRPr="00DB7230">
        <w:rPr>
          <w:rFonts w:ascii="Arial" w:hAnsi="Arial" w:cs="Arial"/>
          <w:color w:val="000000"/>
          <w:sz w:val="20"/>
          <w:szCs w:val="20"/>
        </w:rPr>
        <w:t xml:space="preserve"> sublicensing income, reservation of rights, or access to future improvements. And some investors have equally strong feelings about equity, success fees or board observer seats. </w:t>
      </w:r>
      <w:bookmarkEnd w:id="0"/>
      <w:r w:rsidRPr="00DB7230">
        <w:rPr>
          <w:rFonts w:ascii="Arial" w:hAnsi="Arial" w:cs="Arial"/>
          <w:color w:val="000000"/>
          <w:sz w:val="20"/>
          <w:szCs w:val="20"/>
        </w:rPr>
        <w:t xml:space="preserve">Unfortunately, it would have been impossible to create a single document which incorporated all variations. Accordingly, some of the contributing entities, and other parties as well, may need to use alternative approaches to those in the term sheet template, even if they have approved the general approach espoused herein. Hence, nothing in these documents should be seen as </w:t>
      </w:r>
      <w:proofErr w:type="gramStart"/>
      <w:r w:rsidRPr="00DB7230">
        <w:rPr>
          <w:rFonts w:ascii="Arial" w:hAnsi="Arial" w:cs="Arial"/>
          <w:color w:val="000000"/>
          <w:sz w:val="20"/>
          <w:szCs w:val="20"/>
        </w:rPr>
        <w:t>binding</w:t>
      </w:r>
      <w:proofErr w:type="gramEnd"/>
      <w:r w:rsidRPr="00DB7230">
        <w:rPr>
          <w:rFonts w:ascii="Arial" w:hAnsi="Arial" w:cs="Arial"/>
          <w:color w:val="000000"/>
          <w:sz w:val="20"/>
          <w:szCs w:val="20"/>
        </w:rPr>
        <w:t xml:space="preserve"> any of the undersigned, but rather as a reasonable approach overall for most situations. In that spirit, we hope you find this term sheet useful. Over the next few months, we hope to release a full license agreement template, based on this term sheet. If you have any questions, </w:t>
      </w:r>
      <w:proofErr w:type="gramStart"/>
      <w:r w:rsidRPr="00DB7230">
        <w:rPr>
          <w:rFonts w:ascii="Arial" w:hAnsi="Arial" w:cs="Arial"/>
          <w:color w:val="000000"/>
          <w:sz w:val="20"/>
          <w:szCs w:val="20"/>
        </w:rPr>
        <w:t>comments</w:t>
      </w:r>
      <w:proofErr w:type="gramEnd"/>
      <w:r w:rsidRPr="00DB7230">
        <w:rPr>
          <w:rFonts w:ascii="Arial" w:hAnsi="Arial" w:cs="Arial"/>
          <w:color w:val="000000"/>
          <w:sz w:val="20"/>
          <w:szCs w:val="20"/>
        </w:rPr>
        <w:t xml:space="preserve"> or concerns, </w:t>
      </w:r>
      <w:r w:rsidR="00187342" w:rsidRPr="00DB7230">
        <w:rPr>
          <w:rFonts w:ascii="Arial" w:hAnsi="Arial" w:cs="Arial"/>
          <w:color w:val="000000"/>
          <w:sz w:val="20"/>
          <w:szCs w:val="20"/>
        </w:rPr>
        <w:t xml:space="preserve">or would like to have your institution added to the “Endorsed By” line, </w:t>
      </w:r>
      <w:r w:rsidRPr="00DB7230">
        <w:rPr>
          <w:rFonts w:ascii="Arial" w:hAnsi="Arial" w:cs="Arial"/>
          <w:color w:val="000000"/>
          <w:sz w:val="20"/>
          <w:szCs w:val="20"/>
        </w:rPr>
        <w:t xml:space="preserve">please email </w:t>
      </w:r>
      <w:hyperlink r:id="rId12" w:history="1">
        <w:r w:rsidRPr="00DB7230">
          <w:rPr>
            <w:rStyle w:val="Hyperlink"/>
            <w:rFonts w:ascii="Arial" w:hAnsi="Arial" w:cs="Arial"/>
            <w:color w:val="1155CC"/>
            <w:sz w:val="20"/>
            <w:szCs w:val="20"/>
            <w:shd w:val="clear" w:color="auto" w:fill="FFFFFF"/>
          </w:rPr>
          <w:t>techtransferVCstartups@gmail.com</w:t>
        </w:r>
      </w:hyperlink>
      <w:r w:rsidRPr="00DB7230">
        <w:rPr>
          <w:rFonts w:ascii="Arial" w:hAnsi="Arial" w:cs="Arial"/>
          <w:color w:val="000000"/>
          <w:sz w:val="20"/>
          <w:szCs w:val="20"/>
        </w:rPr>
        <w:t>.</w:t>
      </w:r>
    </w:p>
    <w:p w14:paraId="3BC5E2D8" w14:textId="1839C1E8" w:rsidR="007048F7" w:rsidRPr="00DB7230" w:rsidRDefault="007048F7" w:rsidP="007048F7">
      <w:pPr>
        <w:pStyle w:val="NormalWeb"/>
        <w:spacing w:before="240" w:beforeAutospacing="0" w:after="240" w:afterAutospacing="0"/>
        <w:ind w:left="720"/>
        <w:rPr>
          <w:rFonts w:ascii="Arial" w:hAnsi="Arial" w:cs="Arial"/>
          <w:sz w:val="20"/>
          <w:szCs w:val="20"/>
        </w:rPr>
      </w:pPr>
      <w:r w:rsidRPr="00DB7230">
        <w:rPr>
          <w:rFonts w:ascii="Arial" w:hAnsi="Arial" w:cs="Arial"/>
          <w:color w:val="000000"/>
          <w:sz w:val="20"/>
          <w:szCs w:val="20"/>
        </w:rPr>
        <w:t xml:space="preserve">Best wishes, from the creators of this document (contact person with </w:t>
      </w:r>
      <w:r w:rsidR="00A25F80">
        <w:rPr>
          <w:rFonts w:ascii="Arial" w:hAnsi="Arial" w:cs="Arial"/>
          <w:color w:val="000000"/>
          <w:sz w:val="20"/>
          <w:szCs w:val="20"/>
        </w:rPr>
        <w:t>their</w:t>
      </w:r>
      <w:r w:rsidRPr="00DB7230">
        <w:rPr>
          <w:rFonts w:ascii="Arial" w:hAnsi="Arial" w:cs="Arial"/>
          <w:color w:val="000000"/>
          <w:sz w:val="20"/>
          <w:szCs w:val="20"/>
        </w:rPr>
        <w:t xml:space="preserve"> entity in parentheses):</w:t>
      </w:r>
    </w:p>
    <w:p w14:paraId="319C3A08" w14:textId="18614247" w:rsidR="007048F7" w:rsidRPr="00DB7230" w:rsidRDefault="007048F7" w:rsidP="0077561F">
      <w:pPr>
        <w:pStyle w:val="NormalWeb"/>
        <w:numPr>
          <w:ilvl w:val="0"/>
          <w:numId w:val="12"/>
        </w:numPr>
        <w:spacing w:before="240" w:beforeAutospacing="0" w:after="0" w:afterAutospacing="0"/>
        <w:ind w:left="1440"/>
        <w:textAlignment w:val="baseline"/>
        <w:rPr>
          <w:rFonts w:ascii="Arial" w:hAnsi="Arial" w:cs="Arial"/>
          <w:color w:val="000000"/>
          <w:sz w:val="20"/>
          <w:szCs w:val="20"/>
        </w:rPr>
      </w:pPr>
      <w:bookmarkStart w:id="1" w:name="_Hlk118894699"/>
      <w:r w:rsidRPr="00611D6E">
        <w:rPr>
          <w:rFonts w:ascii="Arial" w:hAnsi="Arial" w:cs="Arial"/>
          <w:color w:val="000000"/>
          <w:sz w:val="20"/>
          <w:szCs w:val="20"/>
          <w:u w:val="single"/>
        </w:rPr>
        <w:t>Academic institutions</w:t>
      </w:r>
      <w:r w:rsidRPr="00DB7230">
        <w:rPr>
          <w:rFonts w:ascii="Arial" w:hAnsi="Arial" w:cs="Arial"/>
          <w:color w:val="000000"/>
          <w:sz w:val="20"/>
          <w:szCs w:val="20"/>
        </w:rPr>
        <w:t xml:space="preserve">: </w:t>
      </w:r>
      <w:r w:rsidR="00817B36" w:rsidRPr="00DB7230">
        <w:rPr>
          <w:rFonts w:ascii="Arial" w:hAnsi="Arial" w:cs="Arial"/>
          <w:color w:val="000000"/>
          <w:sz w:val="20"/>
          <w:szCs w:val="20"/>
        </w:rPr>
        <w:t>Orin Herskowitz</w:t>
      </w:r>
      <w:r w:rsidR="009D08A5">
        <w:rPr>
          <w:rFonts w:ascii="Arial" w:hAnsi="Arial" w:cs="Arial"/>
          <w:color w:val="000000"/>
          <w:sz w:val="20"/>
          <w:szCs w:val="20"/>
        </w:rPr>
        <w:t xml:space="preserve">, </w:t>
      </w:r>
      <w:r w:rsidR="009D08A5" w:rsidRPr="009D08A5">
        <w:rPr>
          <w:rFonts w:ascii="Arial" w:hAnsi="Arial" w:cs="Arial"/>
          <w:color w:val="000000"/>
          <w:sz w:val="20"/>
          <w:szCs w:val="20"/>
        </w:rPr>
        <w:t>Ofra Weinberger, Melissa Cohen</w:t>
      </w:r>
      <w:r w:rsidR="00817B36" w:rsidRPr="00DB7230">
        <w:rPr>
          <w:rFonts w:ascii="Arial" w:hAnsi="Arial" w:cs="Arial"/>
          <w:color w:val="000000"/>
          <w:sz w:val="20"/>
          <w:szCs w:val="20"/>
        </w:rPr>
        <w:t xml:space="preserve"> </w:t>
      </w:r>
      <w:r w:rsidR="00817B36">
        <w:rPr>
          <w:rFonts w:ascii="Arial" w:hAnsi="Arial" w:cs="Arial"/>
          <w:color w:val="000000"/>
          <w:sz w:val="20"/>
          <w:szCs w:val="20"/>
        </w:rPr>
        <w:t>(</w:t>
      </w:r>
      <w:r w:rsidRPr="00DB7230">
        <w:rPr>
          <w:rFonts w:ascii="Arial" w:hAnsi="Arial" w:cs="Arial"/>
          <w:color w:val="000000"/>
          <w:sz w:val="20"/>
          <w:szCs w:val="20"/>
        </w:rPr>
        <w:t xml:space="preserve">Columbia), </w:t>
      </w:r>
      <w:r w:rsidR="00817B36" w:rsidRPr="00DB7230">
        <w:rPr>
          <w:rFonts w:ascii="Arial" w:hAnsi="Arial" w:cs="Arial"/>
          <w:color w:val="000000"/>
          <w:sz w:val="20"/>
          <w:szCs w:val="20"/>
        </w:rPr>
        <w:t>Robin Rasor</w:t>
      </w:r>
      <w:r w:rsidRPr="00DB7230">
        <w:rPr>
          <w:rFonts w:ascii="Arial" w:hAnsi="Arial" w:cs="Arial"/>
          <w:color w:val="000000"/>
          <w:sz w:val="20"/>
          <w:szCs w:val="20"/>
        </w:rPr>
        <w:t xml:space="preserve"> (</w:t>
      </w:r>
      <w:r w:rsidR="00817B36">
        <w:rPr>
          <w:rFonts w:ascii="Arial" w:hAnsi="Arial" w:cs="Arial"/>
          <w:color w:val="000000"/>
          <w:sz w:val="20"/>
          <w:szCs w:val="20"/>
        </w:rPr>
        <w:t>Duke</w:t>
      </w:r>
      <w:r w:rsidRPr="00DB7230">
        <w:rPr>
          <w:rFonts w:ascii="Arial" w:hAnsi="Arial" w:cs="Arial"/>
          <w:color w:val="000000"/>
          <w:sz w:val="20"/>
          <w:szCs w:val="20"/>
        </w:rPr>
        <w:t xml:space="preserve">), </w:t>
      </w:r>
      <w:r w:rsidR="00817B36" w:rsidRPr="00DB7230">
        <w:rPr>
          <w:rFonts w:ascii="Arial" w:hAnsi="Arial" w:cs="Arial"/>
          <w:color w:val="000000"/>
          <w:sz w:val="20"/>
          <w:szCs w:val="20"/>
        </w:rPr>
        <w:t xml:space="preserve">Isaac Kohlberg </w:t>
      </w:r>
      <w:r w:rsidR="00817B36">
        <w:rPr>
          <w:rFonts w:ascii="Arial" w:hAnsi="Arial" w:cs="Arial"/>
          <w:color w:val="000000"/>
          <w:sz w:val="20"/>
          <w:szCs w:val="20"/>
        </w:rPr>
        <w:t>(</w:t>
      </w:r>
      <w:r w:rsidR="0049707E" w:rsidRPr="00DB7230">
        <w:rPr>
          <w:rFonts w:ascii="Arial" w:hAnsi="Arial" w:cs="Arial"/>
          <w:color w:val="000000"/>
          <w:sz w:val="20"/>
          <w:szCs w:val="20"/>
        </w:rPr>
        <w:t xml:space="preserve">Harvard), </w:t>
      </w:r>
      <w:r w:rsidR="00817B36" w:rsidRPr="00DB7230">
        <w:rPr>
          <w:rFonts w:ascii="Arial" w:hAnsi="Arial" w:cs="Arial"/>
          <w:color w:val="000000"/>
          <w:sz w:val="20"/>
          <w:szCs w:val="20"/>
        </w:rPr>
        <w:t xml:space="preserve">Steve Kousouris </w:t>
      </w:r>
      <w:r w:rsidR="00817B36">
        <w:rPr>
          <w:rFonts w:ascii="Arial" w:hAnsi="Arial" w:cs="Arial"/>
          <w:color w:val="000000"/>
          <w:sz w:val="20"/>
          <w:szCs w:val="20"/>
        </w:rPr>
        <w:t>(</w:t>
      </w:r>
      <w:r w:rsidRPr="00DB7230">
        <w:rPr>
          <w:rFonts w:ascii="Arial" w:hAnsi="Arial" w:cs="Arial"/>
          <w:color w:val="000000"/>
          <w:sz w:val="20"/>
          <w:szCs w:val="20"/>
        </w:rPr>
        <w:t>John</w:t>
      </w:r>
      <w:r w:rsidR="00B200E4" w:rsidRPr="00DB7230">
        <w:rPr>
          <w:rFonts w:ascii="Arial" w:hAnsi="Arial" w:cs="Arial"/>
          <w:color w:val="000000"/>
          <w:sz w:val="20"/>
          <w:szCs w:val="20"/>
        </w:rPr>
        <w:t>s</w:t>
      </w:r>
      <w:r w:rsidRPr="00DB7230">
        <w:rPr>
          <w:rFonts w:ascii="Arial" w:hAnsi="Arial" w:cs="Arial"/>
          <w:color w:val="000000"/>
          <w:sz w:val="20"/>
          <w:szCs w:val="20"/>
        </w:rPr>
        <w:t xml:space="preserve"> Hopkins), </w:t>
      </w:r>
      <w:r w:rsidR="00817B36" w:rsidRPr="00DB7230">
        <w:rPr>
          <w:rFonts w:ascii="Arial" w:hAnsi="Arial" w:cs="Arial"/>
          <w:color w:val="000000"/>
          <w:sz w:val="20"/>
          <w:szCs w:val="20"/>
        </w:rPr>
        <w:t xml:space="preserve">Lauren Foster </w:t>
      </w:r>
      <w:r w:rsidR="00817B36">
        <w:rPr>
          <w:rFonts w:ascii="Arial" w:hAnsi="Arial" w:cs="Arial"/>
          <w:color w:val="000000"/>
          <w:sz w:val="20"/>
          <w:szCs w:val="20"/>
        </w:rPr>
        <w:t>(</w:t>
      </w:r>
      <w:r w:rsidRPr="00DB7230">
        <w:rPr>
          <w:rFonts w:ascii="Arial" w:hAnsi="Arial" w:cs="Arial"/>
          <w:color w:val="000000"/>
          <w:sz w:val="20"/>
          <w:szCs w:val="20"/>
        </w:rPr>
        <w:t xml:space="preserve">MIT), </w:t>
      </w:r>
      <w:r w:rsidR="00817B36" w:rsidRPr="00DB7230">
        <w:rPr>
          <w:rFonts w:ascii="Arial" w:hAnsi="Arial" w:cs="Arial"/>
          <w:color w:val="000000"/>
          <w:sz w:val="20"/>
          <w:szCs w:val="20"/>
        </w:rPr>
        <w:t xml:space="preserve">Karin Immergluck </w:t>
      </w:r>
      <w:r w:rsidR="00817B36">
        <w:rPr>
          <w:rFonts w:ascii="Arial" w:hAnsi="Arial" w:cs="Arial"/>
          <w:color w:val="000000"/>
          <w:sz w:val="20"/>
          <w:szCs w:val="20"/>
        </w:rPr>
        <w:t>(</w:t>
      </w:r>
      <w:r w:rsidRPr="00DB7230">
        <w:rPr>
          <w:rFonts w:ascii="Arial" w:hAnsi="Arial" w:cs="Arial"/>
          <w:color w:val="000000"/>
          <w:sz w:val="20"/>
          <w:szCs w:val="20"/>
        </w:rPr>
        <w:t xml:space="preserve">Stanford), </w:t>
      </w:r>
      <w:r w:rsidR="00817B36" w:rsidRPr="00DB7230">
        <w:rPr>
          <w:rFonts w:ascii="Arial" w:hAnsi="Arial" w:cs="Arial"/>
          <w:color w:val="000000"/>
          <w:sz w:val="20"/>
          <w:szCs w:val="20"/>
        </w:rPr>
        <w:t xml:space="preserve">Teri Willey </w:t>
      </w:r>
      <w:r w:rsidR="00817B36">
        <w:rPr>
          <w:rFonts w:ascii="Arial" w:hAnsi="Arial" w:cs="Arial"/>
          <w:color w:val="000000"/>
          <w:sz w:val="20"/>
          <w:szCs w:val="20"/>
        </w:rPr>
        <w:t>(</w:t>
      </w:r>
      <w:r w:rsidRPr="00DB7230">
        <w:rPr>
          <w:rFonts w:ascii="Arial" w:hAnsi="Arial" w:cs="Arial"/>
          <w:color w:val="000000"/>
          <w:sz w:val="20"/>
          <w:szCs w:val="20"/>
        </w:rPr>
        <w:t xml:space="preserve">Indiana University), </w:t>
      </w:r>
      <w:r w:rsidR="00817B36" w:rsidRPr="00DB7230">
        <w:rPr>
          <w:rFonts w:ascii="Arial" w:hAnsi="Arial" w:cs="Arial"/>
          <w:color w:val="000000"/>
          <w:sz w:val="20"/>
          <w:szCs w:val="20"/>
        </w:rPr>
        <w:t xml:space="preserve">Rick Brandon </w:t>
      </w:r>
      <w:r w:rsidR="00817B36">
        <w:rPr>
          <w:rFonts w:ascii="Arial" w:hAnsi="Arial" w:cs="Arial"/>
          <w:color w:val="000000"/>
          <w:sz w:val="20"/>
          <w:szCs w:val="20"/>
        </w:rPr>
        <w:t>(</w:t>
      </w:r>
      <w:r w:rsidRPr="00DB7230">
        <w:rPr>
          <w:rFonts w:ascii="Arial" w:hAnsi="Arial" w:cs="Arial"/>
          <w:color w:val="000000"/>
          <w:sz w:val="20"/>
          <w:szCs w:val="20"/>
        </w:rPr>
        <w:t xml:space="preserve">University of Michigan), </w:t>
      </w:r>
      <w:r w:rsidR="00817B36" w:rsidRPr="00DB7230">
        <w:rPr>
          <w:rFonts w:ascii="Arial" w:hAnsi="Arial" w:cs="Arial"/>
          <w:color w:val="000000"/>
          <w:sz w:val="20"/>
          <w:szCs w:val="20"/>
        </w:rPr>
        <w:t xml:space="preserve">Ian McClure </w:t>
      </w:r>
      <w:r w:rsidR="00817B36">
        <w:rPr>
          <w:rFonts w:ascii="Arial" w:hAnsi="Arial" w:cs="Arial"/>
          <w:color w:val="000000"/>
          <w:sz w:val="20"/>
          <w:szCs w:val="20"/>
        </w:rPr>
        <w:t>(</w:t>
      </w:r>
      <w:r w:rsidRPr="00DB7230">
        <w:rPr>
          <w:rFonts w:ascii="Arial" w:hAnsi="Arial" w:cs="Arial"/>
          <w:color w:val="000000"/>
          <w:sz w:val="20"/>
          <w:szCs w:val="20"/>
        </w:rPr>
        <w:t xml:space="preserve">University of Kentucky), </w:t>
      </w:r>
      <w:r w:rsidR="00817B36" w:rsidRPr="00DB7230">
        <w:rPr>
          <w:rFonts w:ascii="Arial" w:hAnsi="Arial" w:cs="Arial"/>
          <w:color w:val="000000"/>
          <w:sz w:val="20"/>
          <w:szCs w:val="20"/>
        </w:rPr>
        <w:t xml:space="preserve">John Swartley </w:t>
      </w:r>
      <w:r w:rsidR="00817B36">
        <w:rPr>
          <w:rFonts w:ascii="Arial" w:hAnsi="Arial" w:cs="Arial"/>
          <w:color w:val="000000"/>
          <w:sz w:val="20"/>
          <w:szCs w:val="20"/>
        </w:rPr>
        <w:t>(</w:t>
      </w:r>
      <w:r w:rsidRPr="00DB7230">
        <w:rPr>
          <w:rFonts w:ascii="Arial" w:hAnsi="Arial" w:cs="Arial"/>
          <w:color w:val="000000"/>
          <w:sz w:val="20"/>
          <w:szCs w:val="20"/>
        </w:rPr>
        <w:t xml:space="preserve">University of Pennsylvania), and </w:t>
      </w:r>
      <w:r w:rsidR="00817B36" w:rsidRPr="00DB7230">
        <w:rPr>
          <w:rFonts w:ascii="Arial" w:hAnsi="Arial" w:cs="Arial"/>
          <w:color w:val="000000"/>
          <w:sz w:val="20"/>
          <w:szCs w:val="20"/>
        </w:rPr>
        <w:t xml:space="preserve">Jon Soderstrom </w:t>
      </w:r>
      <w:r w:rsidR="00817B36">
        <w:rPr>
          <w:rFonts w:ascii="Arial" w:hAnsi="Arial" w:cs="Arial"/>
          <w:color w:val="000000"/>
          <w:sz w:val="20"/>
          <w:szCs w:val="20"/>
        </w:rPr>
        <w:t>(</w:t>
      </w:r>
      <w:r w:rsidRPr="00DB7230">
        <w:rPr>
          <w:rFonts w:ascii="Arial" w:hAnsi="Arial" w:cs="Arial"/>
          <w:color w:val="000000"/>
          <w:sz w:val="20"/>
          <w:szCs w:val="20"/>
        </w:rPr>
        <w:t>Yale)</w:t>
      </w:r>
    </w:p>
    <w:p w14:paraId="516B1C46" w14:textId="2D396596" w:rsidR="007048F7" w:rsidRPr="00F74D93" w:rsidRDefault="007048F7" w:rsidP="007048F7">
      <w:pPr>
        <w:pStyle w:val="NormalWeb"/>
        <w:numPr>
          <w:ilvl w:val="0"/>
          <w:numId w:val="12"/>
        </w:numPr>
        <w:spacing w:before="0" w:beforeAutospacing="0" w:after="0" w:afterAutospacing="0"/>
        <w:ind w:left="1440"/>
        <w:textAlignment w:val="baseline"/>
        <w:rPr>
          <w:rFonts w:ascii="Arial" w:hAnsi="Arial" w:cs="Arial"/>
          <w:color w:val="000000"/>
          <w:sz w:val="20"/>
          <w:szCs w:val="20"/>
        </w:rPr>
      </w:pPr>
      <w:r w:rsidRPr="00611D6E">
        <w:rPr>
          <w:rFonts w:ascii="Arial" w:hAnsi="Arial" w:cs="Arial"/>
          <w:color w:val="000000"/>
          <w:sz w:val="20"/>
          <w:szCs w:val="20"/>
          <w:u w:val="single"/>
        </w:rPr>
        <w:t>Ventu</w:t>
      </w:r>
      <w:r w:rsidRPr="00F74D93">
        <w:rPr>
          <w:rFonts w:ascii="Arial" w:hAnsi="Arial" w:cs="Arial"/>
          <w:color w:val="000000"/>
          <w:sz w:val="20"/>
          <w:szCs w:val="20"/>
          <w:u w:val="single"/>
        </w:rPr>
        <w:t>re capital firms</w:t>
      </w:r>
      <w:r w:rsidRPr="00F74D93">
        <w:rPr>
          <w:rFonts w:ascii="Arial" w:hAnsi="Arial" w:cs="Arial"/>
          <w:color w:val="000000"/>
          <w:sz w:val="20"/>
          <w:szCs w:val="20"/>
        </w:rPr>
        <w:t xml:space="preserve">: </w:t>
      </w:r>
      <w:r w:rsidR="00817B36" w:rsidRPr="00F74D93">
        <w:rPr>
          <w:rFonts w:ascii="Arial" w:hAnsi="Arial" w:cs="Arial"/>
          <w:color w:val="000000"/>
          <w:sz w:val="20"/>
          <w:szCs w:val="20"/>
        </w:rPr>
        <w:t>Galya Blachman</w:t>
      </w:r>
      <w:r w:rsidR="003B5FA1">
        <w:rPr>
          <w:rFonts w:ascii="Arial" w:hAnsi="Arial" w:cs="Arial"/>
          <w:color w:val="000000"/>
          <w:sz w:val="20"/>
          <w:szCs w:val="20"/>
        </w:rPr>
        <w:t>, Jessica Alfano</w:t>
      </w:r>
      <w:r w:rsidR="00F753BF">
        <w:rPr>
          <w:rFonts w:ascii="Arial" w:hAnsi="Arial" w:cs="Arial"/>
          <w:color w:val="000000"/>
          <w:sz w:val="20"/>
          <w:szCs w:val="20"/>
        </w:rPr>
        <w:t xml:space="preserve"> and Deb Palestrant</w:t>
      </w:r>
      <w:r w:rsidR="00817B36" w:rsidRPr="00F74D93">
        <w:rPr>
          <w:rFonts w:ascii="Arial" w:hAnsi="Arial" w:cs="Arial"/>
          <w:color w:val="000000"/>
          <w:sz w:val="20"/>
          <w:szCs w:val="20"/>
        </w:rPr>
        <w:t xml:space="preserve"> (</w:t>
      </w:r>
      <w:r w:rsidRPr="00F74D93">
        <w:rPr>
          <w:rFonts w:ascii="Arial" w:hAnsi="Arial" w:cs="Arial"/>
          <w:color w:val="000000"/>
          <w:sz w:val="20"/>
          <w:szCs w:val="20"/>
        </w:rPr>
        <w:t xml:space="preserve">5AM Ventures), </w:t>
      </w:r>
      <w:r w:rsidR="00817B36" w:rsidRPr="00F74D93">
        <w:rPr>
          <w:rFonts w:ascii="Arial" w:hAnsi="Arial" w:cs="Arial"/>
          <w:color w:val="000000"/>
          <w:sz w:val="20"/>
          <w:szCs w:val="20"/>
        </w:rPr>
        <w:t>Kevin Bitterman (</w:t>
      </w:r>
      <w:r w:rsidRPr="00F74D93">
        <w:rPr>
          <w:rFonts w:ascii="Arial" w:hAnsi="Arial" w:cs="Arial"/>
          <w:color w:val="000000"/>
          <w:sz w:val="20"/>
          <w:szCs w:val="20"/>
        </w:rPr>
        <w:t>Atlas</w:t>
      </w:r>
      <w:r w:rsidR="00817B36" w:rsidRPr="00F74D93">
        <w:rPr>
          <w:rFonts w:ascii="Arial" w:hAnsi="Arial" w:cs="Arial"/>
          <w:color w:val="000000"/>
          <w:sz w:val="20"/>
          <w:szCs w:val="20"/>
        </w:rPr>
        <w:t>)</w:t>
      </w:r>
      <w:r w:rsidRPr="00F74D93">
        <w:rPr>
          <w:rFonts w:ascii="Arial" w:hAnsi="Arial" w:cs="Arial"/>
          <w:color w:val="000000"/>
          <w:sz w:val="20"/>
          <w:szCs w:val="20"/>
        </w:rPr>
        <w:t xml:space="preserve">, </w:t>
      </w:r>
      <w:r w:rsidR="00817B36" w:rsidRPr="00F74D93">
        <w:rPr>
          <w:rFonts w:ascii="Arial" w:hAnsi="Arial" w:cs="Arial"/>
          <w:sz w:val="20"/>
          <w:szCs w:val="20"/>
        </w:rPr>
        <w:t>Deirdre Cunnane</w:t>
      </w:r>
      <w:r w:rsidR="00817B36" w:rsidRPr="00F74D93">
        <w:rPr>
          <w:rFonts w:ascii="Arial" w:hAnsi="Arial" w:cs="Arial"/>
          <w:color w:val="000000"/>
          <w:sz w:val="20"/>
          <w:szCs w:val="20"/>
        </w:rPr>
        <w:t xml:space="preserve"> (</w:t>
      </w:r>
      <w:r w:rsidRPr="00F74D93">
        <w:rPr>
          <w:rFonts w:ascii="Arial" w:hAnsi="Arial" w:cs="Arial"/>
          <w:color w:val="000000"/>
          <w:sz w:val="20"/>
          <w:szCs w:val="20"/>
        </w:rPr>
        <w:t xml:space="preserve">Omega Funds), </w:t>
      </w:r>
      <w:r w:rsidR="00817B36" w:rsidRPr="00F74D93">
        <w:rPr>
          <w:rFonts w:ascii="Arial" w:hAnsi="Arial" w:cs="Arial"/>
          <w:color w:val="000000"/>
          <w:sz w:val="20"/>
          <w:szCs w:val="20"/>
        </w:rPr>
        <w:t xml:space="preserve">Kirsten Leute </w:t>
      </w:r>
      <w:r w:rsidR="00F753BF">
        <w:rPr>
          <w:rFonts w:ascii="Arial" w:hAnsi="Arial" w:cs="Arial"/>
          <w:color w:val="000000"/>
          <w:sz w:val="20"/>
          <w:szCs w:val="20"/>
        </w:rPr>
        <w:t xml:space="preserve">and Bill Harrington </w:t>
      </w:r>
      <w:r w:rsidR="00817B36" w:rsidRPr="00F74D93">
        <w:rPr>
          <w:rFonts w:ascii="Arial" w:hAnsi="Arial" w:cs="Arial"/>
          <w:color w:val="000000"/>
          <w:sz w:val="20"/>
          <w:szCs w:val="20"/>
        </w:rPr>
        <w:t>(</w:t>
      </w:r>
      <w:r w:rsidR="00A06A4C">
        <w:rPr>
          <w:rFonts w:ascii="Arial" w:hAnsi="Arial" w:cs="Arial"/>
          <w:color w:val="000000"/>
          <w:sz w:val="20"/>
          <w:szCs w:val="20"/>
        </w:rPr>
        <w:t>OUP</w:t>
      </w:r>
      <w:r w:rsidRPr="00F74D93">
        <w:rPr>
          <w:rFonts w:ascii="Arial" w:hAnsi="Arial" w:cs="Arial"/>
          <w:color w:val="000000"/>
          <w:sz w:val="20"/>
          <w:szCs w:val="20"/>
        </w:rPr>
        <w:t xml:space="preserve">), </w:t>
      </w:r>
      <w:r w:rsidR="00817B36" w:rsidRPr="00F74D93">
        <w:rPr>
          <w:rFonts w:ascii="Arial" w:hAnsi="Arial" w:cs="Arial"/>
          <w:color w:val="000000"/>
          <w:sz w:val="20"/>
          <w:szCs w:val="20"/>
        </w:rPr>
        <w:t xml:space="preserve">Amy Schulman </w:t>
      </w:r>
      <w:r w:rsidR="007F3D04">
        <w:rPr>
          <w:rFonts w:ascii="Arial" w:hAnsi="Arial" w:cs="Arial"/>
          <w:color w:val="000000"/>
          <w:sz w:val="20"/>
          <w:szCs w:val="20"/>
        </w:rPr>
        <w:t xml:space="preserve">and Alexandra Cantley </w:t>
      </w:r>
      <w:r w:rsidR="00817B36" w:rsidRPr="00F74D93">
        <w:rPr>
          <w:rFonts w:ascii="Arial" w:hAnsi="Arial" w:cs="Arial"/>
          <w:color w:val="000000"/>
          <w:sz w:val="20"/>
          <w:szCs w:val="20"/>
        </w:rPr>
        <w:t>(</w:t>
      </w:r>
      <w:r w:rsidRPr="00F74D93">
        <w:rPr>
          <w:rFonts w:ascii="Arial" w:hAnsi="Arial" w:cs="Arial"/>
          <w:color w:val="000000"/>
          <w:sz w:val="20"/>
          <w:szCs w:val="20"/>
        </w:rPr>
        <w:t xml:space="preserve">Polaris), </w:t>
      </w:r>
      <w:r w:rsidR="00817B36" w:rsidRPr="00F74D93">
        <w:rPr>
          <w:rFonts w:ascii="Arial" w:hAnsi="Arial" w:cs="Arial"/>
          <w:color w:val="000000"/>
          <w:sz w:val="20"/>
          <w:szCs w:val="20"/>
        </w:rPr>
        <w:t>Sarah Reed</w:t>
      </w:r>
      <w:r w:rsidR="003B5FA1">
        <w:rPr>
          <w:rFonts w:ascii="Arial" w:hAnsi="Arial" w:cs="Arial"/>
          <w:color w:val="000000"/>
          <w:sz w:val="20"/>
          <w:szCs w:val="20"/>
        </w:rPr>
        <w:t>, Nadim Shohdy</w:t>
      </w:r>
      <w:r w:rsidR="00817B36" w:rsidRPr="00F74D93">
        <w:rPr>
          <w:rFonts w:ascii="Arial" w:hAnsi="Arial" w:cs="Arial"/>
          <w:color w:val="000000"/>
          <w:sz w:val="20"/>
          <w:szCs w:val="20"/>
        </w:rPr>
        <w:t xml:space="preserve"> </w:t>
      </w:r>
      <w:r w:rsidR="00F753BF">
        <w:rPr>
          <w:rFonts w:ascii="Arial" w:hAnsi="Arial" w:cs="Arial"/>
          <w:color w:val="000000"/>
          <w:sz w:val="20"/>
          <w:szCs w:val="20"/>
        </w:rPr>
        <w:t xml:space="preserve">and Josh Resnick </w:t>
      </w:r>
      <w:r w:rsidR="00817B36" w:rsidRPr="00F74D93">
        <w:rPr>
          <w:rFonts w:ascii="Arial" w:hAnsi="Arial" w:cs="Arial"/>
          <w:color w:val="000000"/>
          <w:sz w:val="20"/>
          <w:szCs w:val="20"/>
        </w:rPr>
        <w:t>(</w:t>
      </w:r>
      <w:r w:rsidRPr="00F74D93">
        <w:rPr>
          <w:rFonts w:ascii="Arial" w:hAnsi="Arial" w:cs="Arial"/>
          <w:color w:val="000000"/>
          <w:sz w:val="20"/>
          <w:szCs w:val="20"/>
        </w:rPr>
        <w:t>RA Capital)</w:t>
      </w:r>
      <w:r w:rsidR="00817B36" w:rsidRPr="00F74D93">
        <w:rPr>
          <w:rFonts w:ascii="Arial" w:hAnsi="Arial" w:cs="Arial"/>
          <w:color w:val="000000"/>
          <w:sz w:val="20"/>
          <w:szCs w:val="20"/>
        </w:rPr>
        <w:t>, and Cami Samuels (</w:t>
      </w:r>
      <w:proofErr w:type="spellStart"/>
      <w:r w:rsidR="00817B36" w:rsidRPr="00F74D93">
        <w:rPr>
          <w:rFonts w:ascii="Arial" w:hAnsi="Arial" w:cs="Arial"/>
          <w:color w:val="000000"/>
          <w:sz w:val="20"/>
          <w:szCs w:val="20"/>
        </w:rPr>
        <w:t>Venrock</w:t>
      </w:r>
      <w:proofErr w:type="spellEnd"/>
      <w:r w:rsidR="00817B36" w:rsidRPr="00F74D93">
        <w:rPr>
          <w:rFonts w:ascii="Arial" w:hAnsi="Arial" w:cs="Arial"/>
          <w:color w:val="000000"/>
          <w:sz w:val="20"/>
          <w:szCs w:val="20"/>
        </w:rPr>
        <w:t>)</w:t>
      </w:r>
    </w:p>
    <w:p w14:paraId="15287B54" w14:textId="0AA0DEFB" w:rsidR="007048F7" w:rsidRDefault="007048F7" w:rsidP="007048F7">
      <w:pPr>
        <w:pStyle w:val="NormalWeb"/>
        <w:numPr>
          <w:ilvl w:val="0"/>
          <w:numId w:val="12"/>
        </w:numPr>
        <w:spacing w:before="0" w:beforeAutospacing="0" w:after="240" w:afterAutospacing="0"/>
        <w:ind w:left="1440"/>
        <w:textAlignment w:val="baseline"/>
        <w:rPr>
          <w:rFonts w:ascii="Arial" w:hAnsi="Arial" w:cs="Arial"/>
          <w:color w:val="000000"/>
          <w:sz w:val="20"/>
          <w:szCs w:val="20"/>
        </w:rPr>
      </w:pPr>
      <w:r w:rsidRPr="00F74D93">
        <w:rPr>
          <w:rFonts w:ascii="Arial" w:hAnsi="Arial" w:cs="Arial"/>
          <w:color w:val="000000"/>
          <w:sz w:val="20"/>
          <w:szCs w:val="20"/>
          <w:u w:val="single"/>
        </w:rPr>
        <w:t>Law firms</w:t>
      </w:r>
      <w:r w:rsidRPr="00F74D93">
        <w:rPr>
          <w:rFonts w:ascii="Arial" w:hAnsi="Arial" w:cs="Arial"/>
          <w:color w:val="000000"/>
          <w:sz w:val="20"/>
          <w:szCs w:val="20"/>
        </w:rPr>
        <w:t xml:space="preserve">: </w:t>
      </w:r>
      <w:r w:rsidR="00817B36" w:rsidRPr="00F74D93">
        <w:rPr>
          <w:rFonts w:ascii="Arial" w:hAnsi="Arial" w:cs="Arial"/>
          <w:color w:val="000000"/>
          <w:sz w:val="20"/>
          <w:szCs w:val="20"/>
        </w:rPr>
        <w:t>Geoff Spolyar (</w:t>
      </w:r>
      <w:r w:rsidRPr="00F74D93">
        <w:rPr>
          <w:rFonts w:ascii="Arial" w:hAnsi="Arial" w:cs="Arial"/>
          <w:color w:val="000000"/>
          <w:sz w:val="20"/>
          <w:szCs w:val="20"/>
        </w:rPr>
        <w:t xml:space="preserve">Cooley), </w:t>
      </w:r>
      <w:r w:rsidR="00817B36" w:rsidRPr="00F74D93">
        <w:rPr>
          <w:rFonts w:ascii="Arial" w:hAnsi="Arial" w:cs="Arial"/>
          <w:color w:val="000000"/>
          <w:sz w:val="20"/>
          <w:szCs w:val="20"/>
        </w:rPr>
        <w:t>Sarah Solomon (</w:t>
      </w:r>
      <w:r w:rsidRPr="00F74D93">
        <w:rPr>
          <w:rFonts w:ascii="Arial" w:hAnsi="Arial" w:cs="Arial"/>
          <w:color w:val="000000"/>
          <w:sz w:val="20"/>
          <w:szCs w:val="20"/>
        </w:rPr>
        <w:t xml:space="preserve">Goodwin), </w:t>
      </w:r>
      <w:r w:rsidR="00817B36" w:rsidRPr="00F74D93">
        <w:rPr>
          <w:rFonts w:ascii="Arial" w:hAnsi="Arial" w:cs="Arial"/>
          <w:color w:val="000000"/>
          <w:sz w:val="20"/>
          <w:szCs w:val="20"/>
        </w:rPr>
        <w:t>and Kathy Ku (</w:t>
      </w:r>
      <w:r w:rsidRPr="00F74D93">
        <w:rPr>
          <w:rFonts w:ascii="Arial" w:hAnsi="Arial" w:cs="Arial"/>
          <w:color w:val="000000"/>
          <w:sz w:val="20"/>
          <w:szCs w:val="20"/>
        </w:rPr>
        <w:t>Wilson Sonsini)</w:t>
      </w:r>
    </w:p>
    <w:p w14:paraId="4D100D72" w14:textId="605AC22E" w:rsidR="007048F7" w:rsidRPr="00F74D93" w:rsidRDefault="00CB46F8" w:rsidP="007048F7">
      <w:pPr>
        <w:pStyle w:val="NormalWeb"/>
        <w:spacing w:before="240" w:beforeAutospacing="0" w:after="240" w:afterAutospacing="0"/>
        <w:ind w:left="720"/>
        <w:rPr>
          <w:rFonts w:ascii="Arial" w:hAnsi="Arial" w:cs="Arial"/>
          <w:b/>
          <w:bCs/>
          <w:color w:val="000000"/>
          <w:sz w:val="20"/>
          <w:szCs w:val="20"/>
          <w:u w:val="single"/>
        </w:rPr>
      </w:pPr>
      <w:r w:rsidRPr="00F74D93">
        <w:rPr>
          <w:rFonts w:ascii="Arial" w:hAnsi="Arial" w:cs="Arial"/>
          <w:b/>
          <w:bCs/>
          <w:color w:val="000000"/>
          <w:sz w:val="20"/>
          <w:szCs w:val="20"/>
          <w:u w:val="single"/>
        </w:rPr>
        <w:t xml:space="preserve">Additional Endorsements at launch (if you would like to add your name please email: </w:t>
      </w:r>
      <w:hyperlink r:id="rId13" w:history="1">
        <w:r w:rsidRPr="00F74D93">
          <w:rPr>
            <w:rStyle w:val="Hyperlink"/>
            <w:rFonts w:ascii="Arial" w:hAnsi="Arial" w:cs="Arial"/>
            <w:color w:val="1155CC"/>
            <w:sz w:val="20"/>
            <w:szCs w:val="20"/>
            <w:shd w:val="clear" w:color="auto" w:fill="FFFFFF"/>
          </w:rPr>
          <w:t>techtransferVCstartups@gmail.com</w:t>
        </w:r>
      </w:hyperlink>
      <w:r w:rsidRPr="00F74D93">
        <w:rPr>
          <w:rFonts w:ascii="Arial" w:hAnsi="Arial" w:cs="Arial"/>
          <w:color w:val="000000"/>
          <w:sz w:val="20"/>
          <w:szCs w:val="20"/>
        </w:rPr>
        <w:t>)</w:t>
      </w:r>
      <w:r w:rsidR="007048F7" w:rsidRPr="00F74D93">
        <w:rPr>
          <w:rFonts w:ascii="Arial" w:hAnsi="Arial" w:cs="Arial"/>
          <w:b/>
          <w:bCs/>
          <w:color w:val="000000"/>
          <w:sz w:val="20"/>
          <w:szCs w:val="20"/>
          <w:u w:val="single"/>
        </w:rPr>
        <w:t>:</w:t>
      </w:r>
    </w:p>
    <w:bookmarkEnd w:id="1"/>
    <w:p w14:paraId="4D20DEE8" w14:textId="77777777" w:rsidR="00152854" w:rsidRPr="00F74D93" w:rsidRDefault="00152854" w:rsidP="00152854">
      <w:pPr>
        <w:pStyle w:val="NormalWeb"/>
        <w:spacing w:before="0" w:beforeAutospacing="0" w:after="0" w:afterAutospacing="0"/>
        <w:ind w:left="720" w:firstLine="720"/>
        <w:rPr>
          <w:rFonts w:ascii="Arial" w:hAnsi="Arial" w:cs="Arial"/>
          <w:b/>
          <w:bCs/>
          <w:sz w:val="20"/>
          <w:szCs w:val="20"/>
        </w:rPr>
      </w:pPr>
      <w:r w:rsidRPr="00F74D93">
        <w:rPr>
          <w:rFonts w:ascii="Arial" w:hAnsi="Arial" w:cs="Arial"/>
          <w:b/>
          <w:bCs/>
          <w:color w:val="000000"/>
          <w:sz w:val="20"/>
          <w:szCs w:val="20"/>
        </w:rPr>
        <w:t>Reviewed and Endorsed by Tech Transfer Offices of the following Universities:</w:t>
      </w:r>
    </w:p>
    <w:p w14:paraId="01144E2A" w14:textId="77777777" w:rsidR="00152854" w:rsidRPr="00F74D93" w:rsidRDefault="00152854" w:rsidP="00152854">
      <w:pPr>
        <w:pStyle w:val="NormalWeb"/>
        <w:numPr>
          <w:ilvl w:val="0"/>
          <w:numId w:val="13"/>
        </w:numPr>
        <w:spacing w:before="0" w:beforeAutospacing="0" w:after="0" w:afterAutospacing="0"/>
        <w:ind w:left="1440"/>
        <w:textAlignment w:val="baseline"/>
        <w:rPr>
          <w:rFonts w:ascii="Arial" w:hAnsi="Arial" w:cs="Arial"/>
          <w:color w:val="000000"/>
          <w:sz w:val="20"/>
          <w:szCs w:val="20"/>
        </w:rPr>
      </w:pPr>
      <w:r w:rsidRPr="00F74D93">
        <w:rPr>
          <w:rFonts w:ascii="Arial" w:hAnsi="Arial" w:cs="Arial"/>
          <w:color w:val="000000"/>
          <w:sz w:val="20"/>
          <w:szCs w:val="20"/>
        </w:rPr>
        <w:t>California Institute of Technology (Caltech)</w:t>
      </w:r>
    </w:p>
    <w:p w14:paraId="0307599C" w14:textId="77777777" w:rsidR="00152854" w:rsidRPr="00F74D93" w:rsidRDefault="00152854" w:rsidP="00152854">
      <w:pPr>
        <w:pStyle w:val="NormalWeb"/>
        <w:numPr>
          <w:ilvl w:val="0"/>
          <w:numId w:val="13"/>
        </w:numPr>
        <w:spacing w:before="0" w:beforeAutospacing="0" w:after="0" w:afterAutospacing="0"/>
        <w:ind w:left="1440"/>
        <w:textAlignment w:val="baseline"/>
        <w:rPr>
          <w:rFonts w:ascii="Arial" w:hAnsi="Arial" w:cs="Arial"/>
          <w:color w:val="000000"/>
          <w:sz w:val="20"/>
          <w:szCs w:val="20"/>
        </w:rPr>
      </w:pPr>
      <w:r w:rsidRPr="00F74D93">
        <w:rPr>
          <w:rFonts w:ascii="Arial" w:hAnsi="Arial" w:cs="Arial"/>
          <w:color w:val="000000"/>
          <w:sz w:val="20"/>
          <w:szCs w:val="20"/>
        </w:rPr>
        <w:t xml:space="preserve">Columbia </w:t>
      </w:r>
    </w:p>
    <w:p w14:paraId="4C055990" w14:textId="77777777" w:rsidR="00152854" w:rsidRPr="00F74D93" w:rsidRDefault="00152854" w:rsidP="00152854">
      <w:pPr>
        <w:pStyle w:val="NormalWeb"/>
        <w:numPr>
          <w:ilvl w:val="0"/>
          <w:numId w:val="13"/>
        </w:numPr>
        <w:spacing w:before="0" w:beforeAutospacing="0" w:after="0" w:afterAutospacing="0"/>
        <w:ind w:left="1440"/>
        <w:textAlignment w:val="baseline"/>
        <w:rPr>
          <w:rFonts w:ascii="Arial" w:hAnsi="Arial" w:cs="Arial"/>
          <w:color w:val="000000"/>
          <w:sz w:val="20"/>
          <w:szCs w:val="20"/>
        </w:rPr>
      </w:pPr>
      <w:r w:rsidRPr="00F74D93">
        <w:rPr>
          <w:rFonts w:ascii="Arial" w:hAnsi="Arial" w:cs="Arial"/>
          <w:color w:val="000000"/>
          <w:sz w:val="20"/>
          <w:szCs w:val="20"/>
        </w:rPr>
        <w:lastRenderedPageBreak/>
        <w:t>Cornell University</w:t>
      </w:r>
    </w:p>
    <w:p w14:paraId="0449CEE1" w14:textId="77777777" w:rsidR="00152854" w:rsidRPr="00F74D93" w:rsidRDefault="00152854" w:rsidP="00152854">
      <w:pPr>
        <w:pStyle w:val="NormalWeb"/>
        <w:numPr>
          <w:ilvl w:val="0"/>
          <w:numId w:val="13"/>
        </w:numPr>
        <w:spacing w:before="0" w:beforeAutospacing="0" w:after="0" w:afterAutospacing="0"/>
        <w:ind w:left="1440"/>
        <w:textAlignment w:val="baseline"/>
        <w:rPr>
          <w:rFonts w:ascii="Arial" w:hAnsi="Arial" w:cs="Arial"/>
          <w:color w:val="000000"/>
          <w:sz w:val="20"/>
          <w:szCs w:val="20"/>
        </w:rPr>
      </w:pPr>
      <w:r w:rsidRPr="00F74D93">
        <w:rPr>
          <w:rFonts w:ascii="Arial" w:hAnsi="Arial" w:cs="Arial"/>
          <w:color w:val="000000"/>
          <w:sz w:val="20"/>
          <w:szCs w:val="20"/>
        </w:rPr>
        <w:t xml:space="preserve">Duke </w:t>
      </w:r>
    </w:p>
    <w:p w14:paraId="43CE467B" w14:textId="77777777" w:rsidR="00CF74FD" w:rsidRDefault="00CF74FD" w:rsidP="00152854">
      <w:pPr>
        <w:pStyle w:val="NormalWeb"/>
        <w:numPr>
          <w:ilvl w:val="0"/>
          <w:numId w:val="13"/>
        </w:numPr>
        <w:spacing w:before="0" w:beforeAutospacing="0" w:after="0" w:afterAutospacing="0"/>
        <w:ind w:left="1440"/>
        <w:textAlignment w:val="baseline"/>
        <w:rPr>
          <w:rFonts w:ascii="Arial" w:hAnsi="Arial" w:cs="Arial"/>
          <w:color w:val="000000"/>
          <w:sz w:val="20"/>
          <w:szCs w:val="20"/>
        </w:rPr>
      </w:pPr>
      <w:r>
        <w:rPr>
          <w:rFonts w:ascii="Arial" w:hAnsi="Arial" w:cs="Arial"/>
          <w:color w:val="000000"/>
          <w:sz w:val="20"/>
          <w:szCs w:val="20"/>
        </w:rPr>
        <w:t>Emory</w:t>
      </w:r>
    </w:p>
    <w:p w14:paraId="1E9245A3" w14:textId="0EB4A944" w:rsidR="00152854" w:rsidRPr="00F74D93" w:rsidRDefault="00152854" w:rsidP="00152854">
      <w:pPr>
        <w:pStyle w:val="NormalWeb"/>
        <w:numPr>
          <w:ilvl w:val="0"/>
          <w:numId w:val="13"/>
        </w:numPr>
        <w:spacing w:before="0" w:beforeAutospacing="0" w:after="0" w:afterAutospacing="0"/>
        <w:ind w:left="1440"/>
        <w:textAlignment w:val="baseline"/>
        <w:rPr>
          <w:rFonts w:ascii="Arial" w:hAnsi="Arial" w:cs="Arial"/>
          <w:color w:val="000000"/>
          <w:sz w:val="20"/>
          <w:szCs w:val="20"/>
        </w:rPr>
      </w:pPr>
      <w:r w:rsidRPr="00F74D93">
        <w:rPr>
          <w:rFonts w:ascii="Arial" w:hAnsi="Arial" w:cs="Arial"/>
          <w:color w:val="000000"/>
          <w:sz w:val="20"/>
          <w:szCs w:val="20"/>
        </w:rPr>
        <w:t>Harvard</w:t>
      </w:r>
    </w:p>
    <w:p w14:paraId="6C864505" w14:textId="77777777" w:rsidR="00152854" w:rsidRPr="00F74D93" w:rsidRDefault="00152854" w:rsidP="00152854">
      <w:pPr>
        <w:pStyle w:val="NormalWeb"/>
        <w:numPr>
          <w:ilvl w:val="0"/>
          <w:numId w:val="13"/>
        </w:numPr>
        <w:spacing w:before="0" w:beforeAutospacing="0" w:after="0" w:afterAutospacing="0"/>
        <w:ind w:left="1440"/>
        <w:textAlignment w:val="baseline"/>
        <w:rPr>
          <w:rFonts w:ascii="Arial" w:hAnsi="Arial" w:cs="Arial"/>
          <w:color w:val="000000"/>
          <w:sz w:val="20"/>
          <w:szCs w:val="20"/>
        </w:rPr>
      </w:pPr>
      <w:r w:rsidRPr="00F74D93">
        <w:rPr>
          <w:rFonts w:ascii="Arial" w:hAnsi="Arial" w:cs="Arial"/>
          <w:color w:val="000000"/>
          <w:sz w:val="20"/>
          <w:szCs w:val="20"/>
        </w:rPr>
        <w:t xml:space="preserve">Indiana University </w:t>
      </w:r>
    </w:p>
    <w:p w14:paraId="7612C39B" w14:textId="77777777" w:rsidR="00152854" w:rsidRPr="00F74D93" w:rsidRDefault="00152854" w:rsidP="00152854">
      <w:pPr>
        <w:pStyle w:val="NormalWeb"/>
        <w:numPr>
          <w:ilvl w:val="0"/>
          <w:numId w:val="13"/>
        </w:numPr>
        <w:spacing w:before="0" w:beforeAutospacing="0" w:after="0" w:afterAutospacing="0"/>
        <w:ind w:left="1440"/>
        <w:textAlignment w:val="baseline"/>
        <w:rPr>
          <w:rFonts w:ascii="Arial" w:hAnsi="Arial" w:cs="Arial"/>
          <w:color w:val="000000"/>
          <w:sz w:val="20"/>
          <w:szCs w:val="20"/>
        </w:rPr>
      </w:pPr>
      <w:r w:rsidRPr="00F74D93">
        <w:rPr>
          <w:rFonts w:ascii="Arial" w:hAnsi="Arial" w:cs="Arial"/>
          <w:color w:val="000000"/>
          <w:sz w:val="20"/>
          <w:szCs w:val="20"/>
        </w:rPr>
        <w:t>Johns Hopkins</w:t>
      </w:r>
    </w:p>
    <w:p w14:paraId="48E6F5A3" w14:textId="77777777" w:rsidR="00152854" w:rsidRDefault="00152854" w:rsidP="00152854">
      <w:pPr>
        <w:pStyle w:val="NormalWeb"/>
        <w:numPr>
          <w:ilvl w:val="0"/>
          <w:numId w:val="13"/>
        </w:numPr>
        <w:spacing w:before="0" w:beforeAutospacing="0" w:after="0" w:afterAutospacing="0"/>
        <w:ind w:left="1440"/>
        <w:textAlignment w:val="baseline"/>
        <w:rPr>
          <w:rFonts w:ascii="Arial" w:hAnsi="Arial" w:cs="Arial"/>
          <w:color w:val="000000"/>
          <w:sz w:val="20"/>
          <w:szCs w:val="20"/>
        </w:rPr>
      </w:pPr>
      <w:r w:rsidRPr="00DB7230">
        <w:rPr>
          <w:rFonts w:ascii="Arial" w:hAnsi="Arial" w:cs="Arial"/>
          <w:color w:val="000000"/>
          <w:sz w:val="20"/>
          <w:szCs w:val="20"/>
        </w:rPr>
        <w:t>MIT</w:t>
      </w:r>
    </w:p>
    <w:p w14:paraId="5F6A5072" w14:textId="77777777" w:rsidR="00152854" w:rsidRDefault="00152854" w:rsidP="00152854">
      <w:pPr>
        <w:pStyle w:val="NormalWeb"/>
        <w:numPr>
          <w:ilvl w:val="0"/>
          <w:numId w:val="13"/>
        </w:numPr>
        <w:spacing w:before="0" w:beforeAutospacing="0" w:after="0" w:afterAutospacing="0"/>
        <w:ind w:left="1440"/>
        <w:textAlignment w:val="baseline"/>
        <w:rPr>
          <w:rFonts w:ascii="Arial" w:hAnsi="Arial" w:cs="Arial"/>
          <w:color w:val="000000"/>
          <w:sz w:val="20"/>
          <w:szCs w:val="20"/>
        </w:rPr>
      </w:pPr>
      <w:r>
        <w:rPr>
          <w:rFonts w:ascii="Arial" w:hAnsi="Arial" w:cs="Arial"/>
          <w:color w:val="000000"/>
          <w:sz w:val="20"/>
          <w:szCs w:val="20"/>
        </w:rPr>
        <w:t>National Jewish Health</w:t>
      </w:r>
    </w:p>
    <w:p w14:paraId="0C9D0447" w14:textId="77777777" w:rsidR="00152854" w:rsidRDefault="00152854" w:rsidP="00152854">
      <w:pPr>
        <w:pStyle w:val="NormalWeb"/>
        <w:numPr>
          <w:ilvl w:val="0"/>
          <w:numId w:val="13"/>
        </w:numPr>
        <w:spacing w:before="0" w:beforeAutospacing="0" w:after="0" w:afterAutospacing="0"/>
        <w:ind w:left="1440"/>
        <w:textAlignment w:val="baseline"/>
        <w:rPr>
          <w:rFonts w:ascii="Arial" w:hAnsi="Arial" w:cs="Arial"/>
          <w:color w:val="000000"/>
          <w:sz w:val="20"/>
          <w:szCs w:val="20"/>
        </w:rPr>
      </w:pPr>
      <w:r w:rsidRPr="00DB7230">
        <w:rPr>
          <w:rFonts w:ascii="Arial" w:hAnsi="Arial" w:cs="Arial"/>
          <w:color w:val="000000"/>
          <w:sz w:val="20"/>
          <w:szCs w:val="20"/>
        </w:rPr>
        <w:t>New York University</w:t>
      </w:r>
    </w:p>
    <w:p w14:paraId="7EB9C99E" w14:textId="77777777" w:rsidR="00152854" w:rsidRPr="000D5391" w:rsidRDefault="00152854" w:rsidP="00152854">
      <w:pPr>
        <w:pStyle w:val="NormalWeb"/>
        <w:numPr>
          <w:ilvl w:val="0"/>
          <w:numId w:val="13"/>
        </w:numPr>
        <w:spacing w:before="0" w:beforeAutospacing="0" w:after="0" w:afterAutospacing="0"/>
        <w:ind w:left="1440"/>
        <w:textAlignment w:val="baseline"/>
        <w:rPr>
          <w:rFonts w:ascii="Arial" w:hAnsi="Arial" w:cs="Arial"/>
          <w:color w:val="000000"/>
          <w:sz w:val="20"/>
          <w:szCs w:val="20"/>
        </w:rPr>
      </w:pPr>
      <w:r w:rsidRPr="000D5391">
        <w:t>Puerto Rico Science, Technology and Research Trust </w:t>
      </w:r>
    </w:p>
    <w:p w14:paraId="3878AA96" w14:textId="77777777" w:rsidR="00152854" w:rsidRDefault="00152854" w:rsidP="00152854">
      <w:pPr>
        <w:pStyle w:val="NormalWeb"/>
        <w:numPr>
          <w:ilvl w:val="0"/>
          <w:numId w:val="13"/>
        </w:numPr>
        <w:spacing w:before="0" w:beforeAutospacing="0" w:after="0" w:afterAutospacing="0"/>
        <w:ind w:left="1440"/>
        <w:textAlignment w:val="baseline"/>
        <w:rPr>
          <w:rFonts w:ascii="Arial" w:hAnsi="Arial" w:cs="Arial"/>
          <w:color w:val="000000"/>
          <w:sz w:val="20"/>
          <w:szCs w:val="20"/>
        </w:rPr>
      </w:pPr>
      <w:r w:rsidRPr="00DB7230">
        <w:rPr>
          <w:rFonts w:ascii="Arial" w:hAnsi="Arial" w:cs="Arial"/>
          <w:color w:val="000000"/>
          <w:sz w:val="20"/>
          <w:szCs w:val="20"/>
        </w:rPr>
        <w:t xml:space="preserve">Stanford </w:t>
      </w:r>
    </w:p>
    <w:p w14:paraId="479C740A" w14:textId="77777777" w:rsidR="00A0293B" w:rsidRDefault="00A0293B" w:rsidP="00152854">
      <w:pPr>
        <w:pStyle w:val="NormalWeb"/>
        <w:numPr>
          <w:ilvl w:val="0"/>
          <w:numId w:val="13"/>
        </w:numPr>
        <w:spacing w:before="0" w:beforeAutospacing="0" w:after="0" w:afterAutospacing="0"/>
        <w:ind w:left="1440"/>
        <w:textAlignment w:val="baseline"/>
        <w:rPr>
          <w:rFonts w:ascii="Arial" w:hAnsi="Arial" w:cs="Arial"/>
          <w:color w:val="000000"/>
          <w:sz w:val="20"/>
          <w:szCs w:val="20"/>
        </w:rPr>
      </w:pPr>
      <w:r>
        <w:rPr>
          <w:rFonts w:ascii="Arial" w:hAnsi="Arial" w:cs="Arial"/>
          <w:color w:val="000000"/>
          <w:sz w:val="20"/>
          <w:szCs w:val="20"/>
        </w:rPr>
        <w:t>Tulane University</w:t>
      </w:r>
    </w:p>
    <w:p w14:paraId="73EC377C" w14:textId="23853058" w:rsidR="00152854" w:rsidRDefault="00152854" w:rsidP="00152854">
      <w:pPr>
        <w:pStyle w:val="NormalWeb"/>
        <w:numPr>
          <w:ilvl w:val="0"/>
          <w:numId w:val="13"/>
        </w:numPr>
        <w:spacing w:before="0" w:beforeAutospacing="0" w:after="0" w:afterAutospacing="0"/>
        <w:ind w:left="1440"/>
        <w:textAlignment w:val="baseline"/>
        <w:rPr>
          <w:rFonts w:ascii="Arial" w:hAnsi="Arial" w:cs="Arial"/>
          <w:color w:val="000000"/>
          <w:sz w:val="20"/>
          <w:szCs w:val="20"/>
        </w:rPr>
      </w:pPr>
      <w:r w:rsidRPr="00817B36">
        <w:rPr>
          <w:rFonts w:ascii="Arial" w:hAnsi="Arial" w:cs="Arial"/>
          <w:color w:val="000000"/>
          <w:sz w:val="20"/>
          <w:szCs w:val="20"/>
        </w:rPr>
        <w:t>University of Kentucky</w:t>
      </w:r>
    </w:p>
    <w:p w14:paraId="56D2B5D0" w14:textId="77777777" w:rsidR="002045CA" w:rsidRDefault="002045CA" w:rsidP="002045CA">
      <w:pPr>
        <w:pStyle w:val="NormalWeb"/>
        <w:numPr>
          <w:ilvl w:val="0"/>
          <w:numId w:val="13"/>
        </w:numPr>
        <w:spacing w:before="0" w:beforeAutospacing="0" w:after="0" w:afterAutospacing="0"/>
        <w:ind w:left="1440"/>
        <w:textAlignment w:val="baseline"/>
        <w:rPr>
          <w:rFonts w:ascii="Arial" w:hAnsi="Arial" w:cs="Arial"/>
          <w:color w:val="000000"/>
          <w:sz w:val="20"/>
          <w:szCs w:val="20"/>
        </w:rPr>
      </w:pPr>
      <w:r w:rsidRPr="00DB7230">
        <w:rPr>
          <w:rFonts w:ascii="Arial" w:hAnsi="Arial" w:cs="Arial"/>
          <w:color w:val="000000"/>
          <w:sz w:val="20"/>
          <w:szCs w:val="20"/>
        </w:rPr>
        <w:t>University of Michigan</w:t>
      </w:r>
    </w:p>
    <w:p w14:paraId="72F655FD" w14:textId="77777777" w:rsidR="002045CA" w:rsidRDefault="002045CA" w:rsidP="00152854">
      <w:pPr>
        <w:pStyle w:val="NormalWeb"/>
        <w:numPr>
          <w:ilvl w:val="0"/>
          <w:numId w:val="13"/>
        </w:numPr>
        <w:spacing w:before="0" w:beforeAutospacing="0" w:after="0" w:afterAutospacing="0"/>
        <w:ind w:left="1440"/>
        <w:textAlignment w:val="baseline"/>
        <w:rPr>
          <w:rFonts w:ascii="Arial" w:hAnsi="Arial" w:cs="Arial"/>
          <w:color w:val="000000"/>
          <w:sz w:val="20"/>
          <w:szCs w:val="20"/>
        </w:rPr>
      </w:pPr>
      <w:r>
        <w:rPr>
          <w:rFonts w:ascii="Arial" w:hAnsi="Arial" w:cs="Arial"/>
          <w:color w:val="000000"/>
          <w:sz w:val="20"/>
          <w:szCs w:val="20"/>
        </w:rPr>
        <w:t>University of Minnesota</w:t>
      </w:r>
    </w:p>
    <w:p w14:paraId="481982E9" w14:textId="014C9B81" w:rsidR="00152854" w:rsidRDefault="00152854" w:rsidP="00152854">
      <w:pPr>
        <w:pStyle w:val="NormalWeb"/>
        <w:numPr>
          <w:ilvl w:val="0"/>
          <w:numId w:val="13"/>
        </w:numPr>
        <w:spacing w:before="0" w:beforeAutospacing="0" w:after="0" w:afterAutospacing="0"/>
        <w:ind w:left="1440"/>
        <w:textAlignment w:val="baseline"/>
        <w:rPr>
          <w:rFonts w:ascii="Arial" w:hAnsi="Arial" w:cs="Arial"/>
          <w:color w:val="000000"/>
          <w:sz w:val="20"/>
          <w:szCs w:val="20"/>
        </w:rPr>
      </w:pPr>
      <w:r w:rsidRPr="00817B36">
        <w:rPr>
          <w:rFonts w:ascii="Arial" w:hAnsi="Arial" w:cs="Arial"/>
          <w:color w:val="000000"/>
          <w:sz w:val="20"/>
          <w:szCs w:val="20"/>
        </w:rPr>
        <w:t>University of Pennsylvania</w:t>
      </w:r>
    </w:p>
    <w:p w14:paraId="15C01005" w14:textId="77777777" w:rsidR="00152854" w:rsidRDefault="00152854" w:rsidP="00152854">
      <w:pPr>
        <w:pStyle w:val="NormalWeb"/>
        <w:numPr>
          <w:ilvl w:val="0"/>
          <w:numId w:val="13"/>
        </w:numPr>
        <w:spacing w:before="0" w:beforeAutospacing="0" w:after="0" w:afterAutospacing="0"/>
        <w:ind w:left="1440"/>
        <w:textAlignment w:val="baseline"/>
        <w:rPr>
          <w:rFonts w:ascii="Arial" w:hAnsi="Arial" w:cs="Arial"/>
          <w:color w:val="000000"/>
          <w:sz w:val="20"/>
          <w:szCs w:val="20"/>
        </w:rPr>
      </w:pPr>
      <w:r>
        <w:rPr>
          <w:rFonts w:ascii="Arial" w:hAnsi="Arial" w:cs="Arial"/>
          <w:color w:val="000000"/>
          <w:sz w:val="20"/>
          <w:szCs w:val="20"/>
        </w:rPr>
        <w:t>University of Texas Austin</w:t>
      </w:r>
    </w:p>
    <w:p w14:paraId="5B9B237D" w14:textId="21C32187" w:rsidR="00A0293B" w:rsidRDefault="00A0293B" w:rsidP="00152854">
      <w:pPr>
        <w:pStyle w:val="NormalWeb"/>
        <w:numPr>
          <w:ilvl w:val="0"/>
          <w:numId w:val="13"/>
        </w:numPr>
        <w:spacing w:before="0" w:beforeAutospacing="0" w:after="0" w:afterAutospacing="0"/>
        <w:ind w:left="1440"/>
        <w:textAlignment w:val="baseline"/>
        <w:rPr>
          <w:rFonts w:ascii="Arial" w:hAnsi="Arial" w:cs="Arial"/>
          <w:color w:val="000000"/>
          <w:sz w:val="20"/>
          <w:szCs w:val="20"/>
        </w:rPr>
      </w:pPr>
      <w:r>
        <w:rPr>
          <w:rFonts w:ascii="Arial" w:hAnsi="Arial" w:cs="Arial"/>
          <w:color w:val="000000"/>
          <w:sz w:val="20"/>
          <w:szCs w:val="20"/>
        </w:rPr>
        <w:t>University of Tulsa</w:t>
      </w:r>
    </w:p>
    <w:p w14:paraId="2E92D1BE" w14:textId="77777777" w:rsidR="00454521" w:rsidRPr="00454521" w:rsidRDefault="00152854" w:rsidP="00152854">
      <w:pPr>
        <w:pStyle w:val="NormalWeb"/>
        <w:numPr>
          <w:ilvl w:val="0"/>
          <w:numId w:val="13"/>
        </w:numPr>
        <w:spacing w:before="0" w:beforeAutospacing="0" w:after="0" w:afterAutospacing="0"/>
        <w:ind w:left="1440"/>
        <w:textAlignment w:val="baseline"/>
        <w:rPr>
          <w:rFonts w:ascii="Arial" w:hAnsi="Arial" w:cs="Arial"/>
          <w:sz w:val="20"/>
          <w:szCs w:val="20"/>
        </w:rPr>
      </w:pPr>
      <w:r>
        <w:rPr>
          <w:rFonts w:ascii="Arial" w:hAnsi="Arial" w:cs="Arial"/>
          <w:color w:val="000000"/>
          <w:sz w:val="20"/>
          <w:szCs w:val="20"/>
        </w:rPr>
        <w:t>University of Virginia</w:t>
      </w:r>
    </w:p>
    <w:p w14:paraId="04334E76" w14:textId="434E5154" w:rsidR="00152854" w:rsidRPr="000D5391" w:rsidRDefault="00152854" w:rsidP="00152854">
      <w:pPr>
        <w:pStyle w:val="NormalWeb"/>
        <w:numPr>
          <w:ilvl w:val="0"/>
          <w:numId w:val="13"/>
        </w:numPr>
        <w:spacing w:before="0" w:beforeAutospacing="0" w:after="0" w:afterAutospacing="0"/>
        <w:ind w:left="1440"/>
        <w:textAlignment w:val="baseline"/>
        <w:rPr>
          <w:rFonts w:ascii="Arial" w:hAnsi="Arial" w:cs="Arial"/>
          <w:sz w:val="20"/>
          <w:szCs w:val="20"/>
        </w:rPr>
      </w:pPr>
      <w:r w:rsidRPr="000D5391">
        <w:rPr>
          <w:rFonts w:ascii="Arial" w:hAnsi="Arial" w:cs="Arial"/>
          <w:sz w:val="20"/>
          <w:szCs w:val="20"/>
        </w:rPr>
        <w:t>UWM Research Foundation</w:t>
      </w:r>
    </w:p>
    <w:p w14:paraId="3F55B2A6" w14:textId="77777777" w:rsidR="00152854" w:rsidRPr="000D5391" w:rsidRDefault="00152854" w:rsidP="00152854">
      <w:pPr>
        <w:pStyle w:val="NormalWeb"/>
        <w:numPr>
          <w:ilvl w:val="0"/>
          <w:numId w:val="13"/>
        </w:numPr>
        <w:spacing w:before="0" w:beforeAutospacing="0" w:after="0" w:afterAutospacing="0"/>
        <w:ind w:left="1440"/>
        <w:textAlignment w:val="baseline"/>
        <w:rPr>
          <w:rFonts w:ascii="Arial" w:hAnsi="Arial" w:cs="Arial"/>
        </w:rPr>
      </w:pPr>
      <w:r>
        <w:rPr>
          <w:rFonts w:ascii="Arial" w:hAnsi="Arial" w:cs="Arial"/>
          <w:sz w:val="20"/>
          <w:szCs w:val="20"/>
        </w:rPr>
        <w:t>Vanderbilt University</w:t>
      </w:r>
    </w:p>
    <w:p w14:paraId="55B36378" w14:textId="77777777" w:rsidR="00152854" w:rsidRPr="000D5391" w:rsidRDefault="00152854" w:rsidP="00152854">
      <w:pPr>
        <w:pStyle w:val="NormalWeb"/>
        <w:numPr>
          <w:ilvl w:val="0"/>
          <w:numId w:val="13"/>
        </w:numPr>
        <w:spacing w:before="0" w:beforeAutospacing="0" w:after="0" w:afterAutospacing="0"/>
        <w:ind w:left="1440"/>
        <w:textAlignment w:val="baseline"/>
        <w:rPr>
          <w:rFonts w:ascii="Arial" w:hAnsi="Arial" w:cs="Arial"/>
        </w:rPr>
      </w:pPr>
      <w:r w:rsidRPr="000D5391">
        <w:rPr>
          <w:rFonts w:ascii="Arial" w:hAnsi="Arial" w:cs="Arial"/>
          <w:sz w:val="20"/>
          <w:szCs w:val="20"/>
        </w:rPr>
        <w:t>Wisconsin Alumni Research Foundation (WARF)</w:t>
      </w:r>
    </w:p>
    <w:p w14:paraId="5DFBD247" w14:textId="77777777" w:rsidR="00152854" w:rsidRPr="00611D6E" w:rsidRDefault="00152854" w:rsidP="00152854">
      <w:pPr>
        <w:pStyle w:val="NormalWeb"/>
        <w:numPr>
          <w:ilvl w:val="0"/>
          <w:numId w:val="13"/>
        </w:numPr>
        <w:spacing w:before="0" w:beforeAutospacing="0" w:after="0" w:afterAutospacing="0"/>
        <w:ind w:left="1440"/>
        <w:textAlignment w:val="baseline"/>
        <w:rPr>
          <w:rFonts w:ascii="Arial" w:hAnsi="Arial" w:cs="Arial"/>
          <w:b/>
          <w:u w:val="single"/>
        </w:rPr>
      </w:pPr>
      <w:r w:rsidRPr="00817B36">
        <w:rPr>
          <w:rFonts w:ascii="Arial" w:hAnsi="Arial" w:cs="Arial"/>
          <w:color w:val="000000"/>
          <w:sz w:val="20"/>
          <w:szCs w:val="20"/>
        </w:rPr>
        <w:t>Yale</w:t>
      </w:r>
    </w:p>
    <w:p w14:paraId="20BEC5E9" w14:textId="77777777" w:rsidR="00152854" w:rsidRPr="00817B36" w:rsidRDefault="00152854" w:rsidP="00152854">
      <w:pPr>
        <w:pStyle w:val="NormalWeb"/>
        <w:spacing w:before="0" w:beforeAutospacing="0" w:after="0" w:afterAutospacing="0"/>
        <w:ind w:left="1440"/>
        <w:textAlignment w:val="baseline"/>
        <w:rPr>
          <w:rFonts w:ascii="Arial" w:hAnsi="Arial" w:cs="Arial"/>
          <w:b/>
          <w:u w:val="single"/>
        </w:rPr>
      </w:pPr>
    </w:p>
    <w:p w14:paraId="51BB467F" w14:textId="77777777" w:rsidR="00152854" w:rsidRPr="00817B36" w:rsidRDefault="00152854" w:rsidP="00152854">
      <w:pPr>
        <w:pStyle w:val="NormalWeb"/>
        <w:spacing w:before="0" w:beforeAutospacing="0" w:after="0" w:afterAutospacing="0"/>
        <w:ind w:left="1440"/>
        <w:textAlignment w:val="baseline"/>
        <w:rPr>
          <w:rFonts w:ascii="Arial" w:hAnsi="Arial" w:cs="Arial"/>
          <w:b/>
          <w:bCs/>
          <w:u w:val="single"/>
        </w:rPr>
      </w:pPr>
      <w:r>
        <w:rPr>
          <w:rFonts w:ascii="Arial" w:hAnsi="Arial" w:cs="Arial"/>
          <w:b/>
          <w:bCs/>
          <w:color w:val="000000"/>
          <w:sz w:val="20"/>
          <w:szCs w:val="20"/>
        </w:rPr>
        <w:t xml:space="preserve">Venture Capital Firms </w:t>
      </w:r>
    </w:p>
    <w:p w14:paraId="188C6196" w14:textId="77777777" w:rsidR="00152854" w:rsidRDefault="00152854" w:rsidP="00152854">
      <w:pPr>
        <w:pStyle w:val="NormalWeb"/>
        <w:numPr>
          <w:ilvl w:val="0"/>
          <w:numId w:val="13"/>
        </w:numPr>
        <w:spacing w:before="0" w:beforeAutospacing="0" w:after="0" w:afterAutospacing="0"/>
        <w:ind w:left="1440"/>
        <w:textAlignment w:val="baseline"/>
        <w:rPr>
          <w:rFonts w:ascii="Arial" w:hAnsi="Arial" w:cs="Arial"/>
          <w:color w:val="000000"/>
          <w:sz w:val="20"/>
          <w:szCs w:val="20"/>
        </w:rPr>
      </w:pPr>
      <w:r w:rsidRPr="00DB7230">
        <w:rPr>
          <w:rFonts w:ascii="Arial" w:hAnsi="Arial" w:cs="Arial"/>
          <w:color w:val="000000"/>
          <w:sz w:val="20"/>
          <w:szCs w:val="20"/>
        </w:rPr>
        <w:t xml:space="preserve">5AM Ventures </w:t>
      </w:r>
    </w:p>
    <w:p w14:paraId="5C887D19" w14:textId="77777777" w:rsidR="00152854" w:rsidRDefault="00152854" w:rsidP="00152854">
      <w:pPr>
        <w:pStyle w:val="NormalWeb"/>
        <w:numPr>
          <w:ilvl w:val="0"/>
          <w:numId w:val="13"/>
        </w:numPr>
        <w:spacing w:before="0" w:beforeAutospacing="0" w:after="0" w:afterAutospacing="0"/>
        <w:ind w:left="1440"/>
        <w:textAlignment w:val="baseline"/>
        <w:rPr>
          <w:rFonts w:ascii="Arial" w:hAnsi="Arial" w:cs="Arial"/>
          <w:color w:val="000000"/>
          <w:sz w:val="20"/>
          <w:szCs w:val="20"/>
        </w:rPr>
      </w:pPr>
      <w:r w:rsidRPr="00DB7230">
        <w:rPr>
          <w:rFonts w:ascii="Arial" w:hAnsi="Arial" w:cs="Arial"/>
          <w:color w:val="000000"/>
          <w:sz w:val="20"/>
          <w:szCs w:val="20"/>
        </w:rPr>
        <w:t>Atlas</w:t>
      </w:r>
    </w:p>
    <w:p w14:paraId="7B341E77" w14:textId="77777777" w:rsidR="00152854" w:rsidRDefault="00152854" w:rsidP="00152854">
      <w:pPr>
        <w:pStyle w:val="NormalWeb"/>
        <w:numPr>
          <w:ilvl w:val="0"/>
          <w:numId w:val="13"/>
        </w:numPr>
        <w:spacing w:before="0" w:beforeAutospacing="0" w:after="0" w:afterAutospacing="0"/>
        <w:ind w:left="1440"/>
        <w:textAlignment w:val="baseline"/>
        <w:rPr>
          <w:rFonts w:ascii="Arial" w:hAnsi="Arial" w:cs="Arial"/>
          <w:color w:val="000000"/>
          <w:sz w:val="20"/>
          <w:szCs w:val="20"/>
        </w:rPr>
      </w:pPr>
      <w:r w:rsidRPr="00DB7230">
        <w:rPr>
          <w:rFonts w:ascii="Arial" w:hAnsi="Arial" w:cs="Arial"/>
          <w:color w:val="000000"/>
          <w:sz w:val="20"/>
          <w:szCs w:val="20"/>
        </w:rPr>
        <w:t>F-Prime</w:t>
      </w:r>
      <w:r w:rsidRPr="00611D6E">
        <w:rPr>
          <w:rFonts w:ascii="Arial" w:hAnsi="Arial" w:cs="Arial"/>
          <w:color w:val="000000"/>
          <w:sz w:val="20"/>
          <w:szCs w:val="20"/>
        </w:rPr>
        <w:t xml:space="preserve"> </w:t>
      </w:r>
    </w:p>
    <w:p w14:paraId="1981BB23" w14:textId="77777777" w:rsidR="00152854" w:rsidRDefault="00152854" w:rsidP="00152854">
      <w:pPr>
        <w:pStyle w:val="NormalWeb"/>
        <w:numPr>
          <w:ilvl w:val="0"/>
          <w:numId w:val="13"/>
        </w:numPr>
        <w:spacing w:before="0" w:beforeAutospacing="0" w:after="0" w:afterAutospacing="0"/>
        <w:ind w:left="1440"/>
        <w:textAlignment w:val="baseline"/>
        <w:rPr>
          <w:rFonts w:ascii="Arial" w:hAnsi="Arial" w:cs="Arial"/>
          <w:color w:val="000000"/>
          <w:sz w:val="20"/>
          <w:szCs w:val="20"/>
        </w:rPr>
      </w:pPr>
      <w:r>
        <w:rPr>
          <w:rFonts w:ascii="Arial" w:hAnsi="Arial" w:cs="Arial"/>
          <w:color w:val="000000"/>
          <w:sz w:val="20"/>
          <w:szCs w:val="20"/>
        </w:rPr>
        <w:t>Medical Excellence Capital</w:t>
      </w:r>
    </w:p>
    <w:p w14:paraId="20F4E397" w14:textId="77777777" w:rsidR="00152854" w:rsidRDefault="00152854" w:rsidP="00152854">
      <w:pPr>
        <w:pStyle w:val="NormalWeb"/>
        <w:numPr>
          <w:ilvl w:val="0"/>
          <w:numId w:val="13"/>
        </w:numPr>
        <w:spacing w:before="0" w:beforeAutospacing="0" w:after="0" w:afterAutospacing="0"/>
        <w:ind w:left="1440"/>
        <w:textAlignment w:val="baseline"/>
        <w:rPr>
          <w:rFonts w:ascii="Arial" w:hAnsi="Arial" w:cs="Arial"/>
          <w:color w:val="000000"/>
          <w:sz w:val="20"/>
          <w:szCs w:val="20"/>
        </w:rPr>
      </w:pPr>
      <w:r w:rsidRPr="00DB7230">
        <w:rPr>
          <w:rFonts w:ascii="Arial" w:hAnsi="Arial" w:cs="Arial"/>
          <w:color w:val="000000"/>
          <w:sz w:val="20"/>
          <w:szCs w:val="20"/>
        </w:rPr>
        <w:t>Omega Funds</w:t>
      </w:r>
    </w:p>
    <w:p w14:paraId="6DCBE255" w14:textId="77777777" w:rsidR="00152854" w:rsidRDefault="00152854" w:rsidP="00152854">
      <w:pPr>
        <w:pStyle w:val="NormalWeb"/>
        <w:numPr>
          <w:ilvl w:val="0"/>
          <w:numId w:val="13"/>
        </w:numPr>
        <w:spacing w:before="0" w:beforeAutospacing="0" w:after="0" w:afterAutospacing="0"/>
        <w:ind w:left="1440"/>
        <w:textAlignment w:val="baseline"/>
        <w:rPr>
          <w:rFonts w:ascii="Arial" w:hAnsi="Arial" w:cs="Arial"/>
          <w:color w:val="000000"/>
          <w:sz w:val="20"/>
          <w:szCs w:val="20"/>
        </w:rPr>
      </w:pPr>
      <w:r>
        <w:rPr>
          <w:rFonts w:ascii="Arial" w:hAnsi="Arial" w:cs="Arial"/>
          <w:color w:val="000000"/>
          <w:sz w:val="20"/>
          <w:szCs w:val="20"/>
        </w:rPr>
        <w:t>OUP</w:t>
      </w:r>
    </w:p>
    <w:p w14:paraId="41B6C5D9" w14:textId="77777777" w:rsidR="00152854" w:rsidRPr="00DB7230" w:rsidRDefault="00152854" w:rsidP="00152854">
      <w:pPr>
        <w:pStyle w:val="NormalWeb"/>
        <w:numPr>
          <w:ilvl w:val="0"/>
          <w:numId w:val="13"/>
        </w:numPr>
        <w:spacing w:before="0" w:beforeAutospacing="0" w:after="0" w:afterAutospacing="0"/>
        <w:ind w:left="1440"/>
        <w:textAlignment w:val="baseline"/>
        <w:rPr>
          <w:rFonts w:ascii="Arial" w:hAnsi="Arial" w:cs="Arial"/>
          <w:color w:val="000000"/>
          <w:sz w:val="20"/>
          <w:szCs w:val="20"/>
        </w:rPr>
      </w:pPr>
      <w:r w:rsidRPr="00DB7230">
        <w:rPr>
          <w:rFonts w:ascii="Arial" w:hAnsi="Arial" w:cs="Arial"/>
          <w:color w:val="000000"/>
          <w:sz w:val="20"/>
          <w:szCs w:val="20"/>
        </w:rPr>
        <w:t>Polaris</w:t>
      </w:r>
    </w:p>
    <w:p w14:paraId="1BD0F020" w14:textId="77777777" w:rsidR="00152854" w:rsidRDefault="00152854" w:rsidP="00152854">
      <w:pPr>
        <w:pStyle w:val="NormalWeb"/>
        <w:numPr>
          <w:ilvl w:val="0"/>
          <w:numId w:val="13"/>
        </w:numPr>
        <w:spacing w:before="0" w:beforeAutospacing="0" w:after="0" w:afterAutospacing="0"/>
        <w:ind w:left="1440"/>
        <w:textAlignment w:val="baseline"/>
        <w:rPr>
          <w:rFonts w:ascii="Arial" w:hAnsi="Arial" w:cs="Arial"/>
          <w:color w:val="000000"/>
          <w:sz w:val="20"/>
          <w:szCs w:val="20"/>
        </w:rPr>
      </w:pPr>
      <w:r>
        <w:rPr>
          <w:rFonts w:ascii="Arial" w:hAnsi="Arial" w:cs="Arial"/>
          <w:color w:val="000000"/>
          <w:sz w:val="20"/>
          <w:szCs w:val="20"/>
        </w:rPr>
        <w:t>RA Capital</w:t>
      </w:r>
    </w:p>
    <w:p w14:paraId="3998AA62" w14:textId="77777777" w:rsidR="00152854" w:rsidRDefault="00152854" w:rsidP="00152854">
      <w:pPr>
        <w:pStyle w:val="NormalWeb"/>
        <w:numPr>
          <w:ilvl w:val="0"/>
          <w:numId w:val="13"/>
        </w:numPr>
        <w:spacing w:before="0" w:beforeAutospacing="0" w:after="0" w:afterAutospacing="0"/>
        <w:ind w:left="1440"/>
        <w:textAlignment w:val="baseline"/>
        <w:rPr>
          <w:rFonts w:ascii="Arial" w:hAnsi="Arial" w:cs="Arial"/>
          <w:color w:val="000000"/>
          <w:sz w:val="20"/>
          <w:szCs w:val="20"/>
        </w:rPr>
      </w:pPr>
      <w:r>
        <w:rPr>
          <w:rFonts w:ascii="Arial" w:hAnsi="Arial" w:cs="Arial"/>
          <w:color w:val="000000"/>
          <w:sz w:val="20"/>
          <w:szCs w:val="20"/>
        </w:rPr>
        <w:t>RTW Investments</w:t>
      </w:r>
    </w:p>
    <w:p w14:paraId="30CD3244" w14:textId="77777777" w:rsidR="00152854" w:rsidRDefault="00152854" w:rsidP="00152854">
      <w:pPr>
        <w:pStyle w:val="NormalWeb"/>
        <w:numPr>
          <w:ilvl w:val="0"/>
          <w:numId w:val="13"/>
        </w:numPr>
        <w:spacing w:before="0" w:beforeAutospacing="0" w:after="0" w:afterAutospacing="0"/>
        <w:ind w:left="1440"/>
        <w:textAlignment w:val="baseline"/>
        <w:rPr>
          <w:rFonts w:ascii="Arial" w:hAnsi="Arial" w:cs="Arial"/>
          <w:color w:val="000000"/>
          <w:sz w:val="20"/>
          <w:szCs w:val="20"/>
        </w:rPr>
      </w:pPr>
      <w:proofErr w:type="spellStart"/>
      <w:r>
        <w:rPr>
          <w:rFonts w:ascii="Arial" w:hAnsi="Arial" w:cs="Arial"/>
          <w:color w:val="000000"/>
          <w:sz w:val="20"/>
          <w:szCs w:val="20"/>
        </w:rPr>
        <w:t>Smarthealth</w:t>
      </w:r>
      <w:proofErr w:type="spellEnd"/>
      <w:r>
        <w:rPr>
          <w:rFonts w:ascii="Arial" w:hAnsi="Arial" w:cs="Arial"/>
          <w:color w:val="000000"/>
          <w:sz w:val="20"/>
          <w:szCs w:val="20"/>
        </w:rPr>
        <w:t xml:space="preserve"> Catalyzer</w:t>
      </w:r>
    </w:p>
    <w:p w14:paraId="4B0E2B2D" w14:textId="77777777" w:rsidR="00152854" w:rsidRDefault="00152854" w:rsidP="00152854">
      <w:pPr>
        <w:pStyle w:val="NormalWeb"/>
        <w:numPr>
          <w:ilvl w:val="0"/>
          <w:numId w:val="13"/>
        </w:numPr>
        <w:spacing w:before="0" w:beforeAutospacing="0" w:after="0" w:afterAutospacing="0"/>
        <w:ind w:left="1440"/>
        <w:textAlignment w:val="baseline"/>
        <w:rPr>
          <w:rFonts w:ascii="Arial" w:hAnsi="Arial" w:cs="Arial"/>
          <w:color w:val="000000"/>
          <w:sz w:val="20"/>
          <w:szCs w:val="20"/>
        </w:rPr>
      </w:pPr>
      <w:proofErr w:type="spellStart"/>
      <w:r w:rsidRPr="00DB7230">
        <w:rPr>
          <w:rFonts w:ascii="Arial" w:hAnsi="Arial" w:cs="Arial"/>
          <w:color w:val="000000"/>
          <w:sz w:val="20"/>
          <w:szCs w:val="20"/>
        </w:rPr>
        <w:t>Sofinnova</w:t>
      </w:r>
      <w:proofErr w:type="spellEnd"/>
      <w:r w:rsidRPr="00DB7230">
        <w:rPr>
          <w:rFonts w:ascii="Arial" w:hAnsi="Arial" w:cs="Arial"/>
          <w:color w:val="000000"/>
          <w:sz w:val="20"/>
          <w:szCs w:val="20"/>
        </w:rPr>
        <w:t xml:space="preserve"> Investments</w:t>
      </w:r>
    </w:p>
    <w:p w14:paraId="799B3A55" w14:textId="77777777" w:rsidR="00152854" w:rsidRDefault="00152854" w:rsidP="00152854">
      <w:pPr>
        <w:pStyle w:val="NormalWeb"/>
        <w:numPr>
          <w:ilvl w:val="0"/>
          <w:numId w:val="13"/>
        </w:numPr>
        <w:spacing w:before="0" w:beforeAutospacing="0" w:after="0" w:afterAutospacing="0"/>
        <w:ind w:left="1440"/>
        <w:textAlignment w:val="baseline"/>
        <w:rPr>
          <w:rFonts w:ascii="Arial" w:hAnsi="Arial" w:cs="Arial"/>
          <w:color w:val="000000"/>
          <w:sz w:val="20"/>
          <w:szCs w:val="20"/>
        </w:rPr>
      </w:pPr>
      <w:r>
        <w:rPr>
          <w:rFonts w:ascii="Arial" w:hAnsi="Arial" w:cs="Arial"/>
          <w:color w:val="000000"/>
          <w:sz w:val="20"/>
          <w:szCs w:val="20"/>
        </w:rPr>
        <w:t>Third Rock Ventures</w:t>
      </w:r>
    </w:p>
    <w:p w14:paraId="5319B8AD" w14:textId="77777777" w:rsidR="00152854" w:rsidRDefault="00152854" w:rsidP="00152854">
      <w:pPr>
        <w:pStyle w:val="NormalWeb"/>
        <w:numPr>
          <w:ilvl w:val="0"/>
          <w:numId w:val="13"/>
        </w:numPr>
        <w:spacing w:before="0" w:beforeAutospacing="0" w:after="0" w:afterAutospacing="0"/>
        <w:ind w:left="1440"/>
        <w:textAlignment w:val="baseline"/>
        <w:rPr>
          <w:rFonts w:ascii="Arial" w:hAnsi="Arial" w:cs="Arial"/>
          <w:color w:val="000000"/>
          <w:sz w:val="20"/>
          <w:szCs w:val="20"/>
        </w:rPr>
      </w:pPr>
      <w:r>
        <w:t>Digitalis Ventures</w:t>
      </w:r>
    </w:p>
    <w:p w14:paraId="174C4AEE" w14:textId="77777777" w:rsidR="00611D6E" w:rsidRPr="00DB7230" w:rsidRDefault="00611D6E" w:rsidP="00611D6E">
      <w:pPr>
        <w:pStyle w:val="NormalWeb"/>
        <w:spacing w:before="0" w:beforeAutospacing="0" w:after="0" w:afterAutospacing="0"/>
        <w:ind w:left="1440"/>
        <w:textAlignment w:val="baseline"/>
        <w:rPr>
          <w:rFonts w:ascii="Arial" w:hAnsi="Arial" w:cs="Arial"/>
          <w:color w:val="000000"/>
          <w:sz w:val="20"/>
          <w:szCs w:val="20"/>
        </w:rPr>
      </w:pPr>
    </w:p>
    <w:p w14:paraId="36360317" w14:textId="77777777" w:rsidR="00611D6E" w:rsidRDefault="00611D6E">
      <w:pPr>
        <w:rPr>
          <w:rFonts w:ascii="Arial" w:eastAsiaTheme="minorHAnsi" w:hAnsi="Arial" w:cs="Arial"/>
          <w:color w:val="000000"/>
          <w:sz w:val="20"/>
          <w:szCs w:val="20"/>
        </w:rPr>
      </w:pPr>
      <w:r>
        <w:rPr>
          <w:rFonts w:ascii="Arial" w:hAnsi="Arial" w:cs="Arial"/>
          <w:color w:val="000000"/>
          <w:sz w:val="20"/>
          <w:szCs w:val="20"/>
        </w:rPr>
        <w:br w:type="page"/>
      </w:r>
    </w:p>
    <w:p w14:paraId="00000001" w14:textId="7311BE84" w:rsidR="008D0DE5" w:rsidRPr="00DB7230" w:rsidRDefault="00281F65" w:rsidP="00C60AC8">
      <w:pPr>
        <w:rPr>
          <w:rFonts w:ascii="Arial" w:hAnsi="Arial" w:cs="Arial"/>
          <w:b/>
          <w:sz w:val="22"/>
          <w:szCs w:val="22"/>
          <w:u w:val="single"/>
        </w:rPr>
      </w:pPr>
      <w:r>
        <w:rPr>
          <w:rFonts w:ascii="Arial" w:hAnsi="Arial" w:cs="Arial"/>
          <w:b/>
          <w:sz w:val="22"/>
          <w:szCs w:val="22"/>
          <w:u w:val="single"/>
        </w:rPr>
        <w:lastRenderedPageBreak/>
        <w:t xml:space="preserve">University Startup Basic </w:t>
      </w:r>
      <w:proofErr w:type="spellStart"/>
      <w:r>
        <w:rPr>
          <w:rFonts w:ascii="Arial" w:hAnsi="Arial" w:cs="Arial"/>
          <w:b/>
          <w:sz w:val="22"/>
          <w:szCs w:val="22"/>
          <w:u w:val="single"/>
        </w:rPr>
        <w:t>Outlicense</w:t>
      </w:r>
      <w:proofErr w:type="spellEnd"/>
      <w:r>
        <w:rPr>
          <w:rFonts w:ascii="Arial" w:hAnsi="Arial" w:cs="Arial"/>
          <w:b/>
          <w:sz w:val="22"/>
          <w:szCs w:val="22"/>
          <w:u w:val="single"/>
        </w:rPr>
        <w:t xml:space="preserve"> </w:t>
      </w:r>
      <w:r w:rsidR="00FA678B" w:rsidRPr="00FA678B">
        <w:rPr>
          <w:rFonts w:ascii="Arial" w:hAnsi="Arial" w:cs="Arial"/>
          <w:b/>
          <w:i/>
          <w:iCs/>
          <w:sz w:val="22"/>
          <w:szCs w:val="22"/>
          <w:u w:val="single"/>
        </w:rPr>
        <w:t>Term Sheet</w:t>
      </w:r>
      <w:r w:rsidR="00FA678B">
        <w:rPr>
          <w:rFonts w:ascii="Arial" w:hAnsi="Arial" w:cs="Arial"/>
          <w:b/>
          <w:sz w:val="22"/>
          <w:szCs w:val="22"/>
          <w:u w:val="single"/>
        </w:rPr>
        <w:t xml:space="preserve"> </w:t>
      </w:r>
      <w:r>
        <w:rPr>
          <w:rFonts w:ascii="Arial" w:hAnsi="Arial" w:cs="Arial"/>
          <w:b/>
          <w:sz w:val="22"/>
          <w:szCs w:val="22"/>
          <w:u w:val="single"/>
        </w:rPr>
        <w:t>Template – Life Science edition</w:t>
      </w:r>
    </w:p>
    <w:p w14:paraId="118FE875" w14:textId="77777777" w:rsidR="00B76211" w:rsidRPr="00DB7230" w:rsidRDefault="00B76211">
      <w:pPr>
        <w:tabs>
          <w:tab w:val="left" w:pos="3030"/>
        </w:tabs>
        <w:ind w:left="-360" w:right="-360"/>
        <w:jc w:val="center"/>
        <w:rPr>
          <w:rFonts w:ascii="Arial" w:hAnsi="Arial" w:cs="Arial"/>
          <w:b/>
          <w:sz w:val="22"/>
          <w:szCs w:val="22"/>
          <w:u w:val="single"/>
        </w:rPr>
      </w:pPr>
    </w:p>
    <w:p w14:paraId="3D35B76F" w14:textId="3C5FAC63" w:rsidR="00B76211" w:rsidRPr="00DB7230" w:rsidRDefault="00B76211" w:rsidP="0062071D">
      <w:pPr>
        <w:tabs>
          <w:tab w:val="left" w:pos="3030"/>
        </w:tabs>
        <w:ind w:left="-360" w:right="-360"/>
        <w:rPr>
          <w:rFonts w:ascii="Arial" w:hAnsi="Arial" w:cs="Arial"/>
          <w:bCs/>
          <w:i/>
          <w:iCs/>
          <w:sz w:val="22"/>
          <w:szCs w:val="22"/>
        </w:rPr>
      </w:pPr>
      <w:r w:rsidRPr="00DB7230">
        <w:rPr>
          <w:rFonts w:ascii="Arial" w:hAnsi="Arial" w:cs="Arial"/>
          <w:bCs/>
          <w:i/>
          <w:iCs/>
          <w:sz w:val="22"/>
          <w:szCs w:val="22"/>
        </w:rPr>
        <w:t>Capitalized terms that are not defined in the body of the Term Sheet are defined in the “Defined Terms” section at the end of the Term Sheet</w:t>
      </w:r>
      <w:r w:rsidR="008F7707" w:rsidRPr="00DB7230">
        <w:rPr>
          <w:rFonts w:ascii="Arial" w:hAnsi="Arial" w:cs="Arial"/>
          <w:bCs/>
          <w:i/>
          <w:iCs/>
          <w:sz w:val="22"/>
          <w:szCs w:val="22"/>
        </w:rPr>
        <w:t>.</w:t>
      </w:r>
    </w:p>
    <w:p w14:paraId="00000002" w14:textId="77777777" w:rsidR="008D0DE5" w:rsidRPr="00DB7230" w:rsidRDefault="008D0DE5">
      <w:pPr>
        <w:jc w:val="center"/>
        <w:rPr>
          <w:rFonts w:ascii="Arial" w:hAnsi="Arial" w:cs="Arial"/>
          <w:sz w:val="22"/>
          <w:szCs w:val="22"/>
        </w:rPr>
      </w:pPr>
    </w:p>
    <w:tbl>
      <w:tblPr>
        <w:tblW w:w="14647" w:type="dxa"/>
        <w:tblInd w:w="-25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2047"/>
        <w:gridCol w:w="12600"/>
      </w:tblGrid>
      <w:tr w:rsidR="008D0DE5" w:rsidRPr="00DB7230" w14:paraId="42B6AC9D" w14:textId="77777777" w:rsidTr="6C4217BD">
        <w:trPr>
          <w:trHeight w:val="249"/>
        </w:trPr>
        <w:tc>
          <w:tcPr>
            <w:tcW w:w="2047" w:type="dxa"/>
          </w:tcPr>
          <w:p w14:paraId="00000003" w14:textId="77777777" w:rsidR="008D0DE5" w:rsidRPr="00DB7230" w:rsidRDefault="00C42A31">
            <w:pPr>
              <w:tabs>
                <w:tab w:val="left" w:pos="-720"/>
              </w:tabs>
              <w:spacing w:before="96" w:after="96"/>
              <w:rPr>
                <w:rFonts w:ascii="Arial" w:hAnsi="Arial" w:cs="Arial"/>
                <w:b/>
                <w:sz w:val="22"/>
                <w:szCs w:val="22"/>
              </w:rPr>
            </w:pPr>
            <w:r w:rsidRPr="00DB7230">
              <w:rPr>
                <w:rFonts w:ascii="Arial" w:hAnsi="Arial" w:cs="Arial"/>
                <w:b/>
                <w:sz w:val="22"/>
                <w:szCs w:val="22"/>
              </w:rPr>
              <w:t xml:space="preserve">Date </w:t>
            </w:r>
          </w:p>
        </w:tc>
        <w:tc>
          <w:tcPr>
            <w:tcW w:w="12600" w:type="dxa"/>
          </w:tcPr>
          <w:p w14:paraId="00000004" w14:textId="77777777" w:rsidR="008D0DE5" w:rsidRPr="00DB7230" w:rsidRDefault="008D0DE5">
            <w:pPr>
              <w:tabs>
                <w:tab w:val="left" w:pos="-720"/>
              </w:tabs>
              <w:spacing w:before="96" w:after="96"/>
              <w:rPr>
                <w:rFonts w:ascii="Arial" w:hAnsi="Arial" w:cs="Arial"/>
                <w:sz w:val="22"/>
                <w:szCs w:val="22"/>
              </w:rPr>
            </w:pPr>
          </w:p>
        </w:tc>
      </w:tr>
      <w:tr w:rsidR="008D0DE5" w:rsidRPr="00DB7230" w14:paraId="0A0B2DD5" w14:textId="77777777" w:rsidTr="6C4217BD">
        <w:trPr>
          <w:trHeight w:val="249"/>
        </w:trPr>
        <w:tc>
          <w:tcPr>
            <w:tcW w:w="2047" w:type="dxa"/>
          </w:tcPr>
          <w:p w14:paraId="00000005" w14:textId="77777777" w:rsidR="008D0DE5" w:rsidRPr="00DB7230" w:rsidRDefault="00C42A31">
            <w:pPr>
              <w:tabs>
                <w:tab w:val="left" w:pos="-720"/>
              </w:tabs>
              <w:spacing w:before="96" w:after="96"/>
              <w:rPr>
                <w:rFonts w:ascii="Arial" w:hAnsi="Arial" w:cs="Arial"/>
                <w:b/>
                <w:sz w:val="22"/>
                <w:szCs w:val="22"/>
              </w:rPr>
            </w:pPr>
            <w:r w:rsidRPr="00DB7230">
              <w:rPr>
                <w:rFonts w:ascii="Arial" w:hAnsi="Arial" w:cs="Arial"/>
                <w:b/>
                <w:sz w:val="22"/>
                <w:szCs w:val="22"/>
              </w:rPr>
              <w:t>Licensor</w:t>
            </w:r>
            <w:r w:rsidRPr="00DB7230">
              <w:rPr>
                <w:rFonts w:ascii="Arial" w:hAnsi="Arial" w:cs="Arial"/>
                <w:b/>
                <w:sz w:val="22"/>
                <w:szCs w:val="22"/>
                <w:vertAlign w:val="superscript"/>
              </w:rPr>
              <w:footnoteReference w:id="2"/>
            </w:r>
          </w:p>
        </w:tc>
        <w:tc>
          <w:tcPr>
            <w:tcW w:w="12600" w:type="dxa"/>
          </w:tcPr>
          <w:p w14:paraId="00000006" w14:textId="77777777" w:rsidR="008D0DE5" w:rsidRPr="00DB7230" w:rsidRDefault="008D0DE5">
            <w:pPr>
              <w:tabs>
                <w:tab w:val="left" w:pos="-720"/>
              </w:tabs>
              <w:spacing w:before="96" w:after="96"/>
              <w:rPr>
                <w:rFonts w:ascii="Arial" w:hAnsi="Arial" w:cs="Arial"/>
                <w:sz w:val="22"/>
                <w:szCs w:val="22"/>
              </w:rPr>
            </w:pPr>
          </w:p>
        </w:tc>
      </w:tr>
      <w:tr w:rsidR="008D0DE5" w:rsidRPr="00DB7230" w14:paraId="52883F31" w14:textId="77777777" w:rsidTr="6C4217BD">
        <w:trPr>
          <w:trHeight w:val="249"/>
        </w:trPr>
        <w:tc>
          <w:tcPr>
            <w:tcW w:w="2047" w:type="dxa"/>
          </w:tcPr>
          <w:p w14:paraId="00000007" w14:textId="77777777" w:rsidR="008D0DE5" w:rsidRPr="00DB7230" w:rsidRDefault="00C42A31">
            <w:pPr>
              <w:tabs>
                <w:tab w:val="left" w:pos="-720"/>
              </w:tabs>
              <w:spacing w:before="96" w:after="96"/>
              <w:rPr>
                <w:rFonts w:ascii="Arial" w:hAnsi="Arial" w:cs="Arial"/>
                <w:b/>
                <w:sz w:val="22"/>
                <w:szCs w:val="22"/>
              </w:rPr>
            </w:pPr>
            <w:bookmarkStart w:id="2" w:name="_Hlk104282907"/>
            <w:r w:rsidRPr="00DB7230">
              <w:rPr>
                <w:rFonts w:ascii="Arial" w:hAnsi="Arial" w:cs="Arial"/>
                <w:b/>
                <w:sz w:val="22"/>
                <w:szCs w:val="22"/>
              </w:rPr>
              <w:t>Licensee</w:t>
            </w:r>
          </w:p>
        </w:tc>
        <w:tc>
          <w:tcPr>
            <w:tcW w:w="12600" w:type="dxa"/>
          </w:tcPr>
          <w:p w14:paraId="00000008" w14:textId="1EA043EE" w:rsidR="008D0DE5" w:rsidRPr="00DB7230" w:rsidRDefault="008D0DE5">
            <w:pPr>
              <w:tabs>
                <w:tab w:val="left" w:pos="-720"/>
              </w:tabs>
              <w:spacing w:before="96" w:after="96"/>
              <w:rPr>
                <w:rFonts w:ascii="Arial" w:hAnsi="Arial" w:cs="Arial"/>
                <w:bCs/>
                <w:iCs/>
                <w:sz w:val="22"/>
                <w:szCs w:val="22"/>
              </w:rPr>
            </w:pPr>
          </w:p>
        </w:tc>
      </w:tr>
      <w:bookmarkEnd w:id="2"/>
      <w:tr w:rsidR="008D0DE5" w:rsidRPr="00DB7230" w14:paraId="4FED1C95" w14:textId="77777777" w:rsidTr="6C4217BD">
        <w:trPr>
          <w:trHeight w:val="249"/>
        </w:trPr>
        <w:tc>
          <w:tcPr>
            <w:tcW w:w="2047" w:type="dxa"/>
          </w:tcPr>
          <w:p w14:paraId="00000009" w14:textId="2E15AD96" w:rsidR="008D0DE5" w:rsidRPr="00DB7230" w:rsidRDefault="008D0DE5">
            <w:pPr>
              <w:tabs>
                <w:tab w:val="left" w:pos="-720"/>
              </w:tabs>
              <w:spacing w:before="96" w:after="96"/>
              <w:rPr>
                <w:rFonts w:ascii="Arial" w:hAnsi="Arial" w:cs="Arial"/>
                <w:b/>
                <w:sz w:val="22"/>
                <w:szCs w:val="22"/>
              </w:rPr>
            </w:pPr>
          </w:p>
        </w:tc>
        <w:tc>
          <w:tcPr>
            <w:tcW w:w="12600" w:type="dxa"/>
          </w:tcPr>
          <w:p w14:paraId="0000000A" w14:textId="10B11236" w:rsidR="008D0DE5" w:rsidRPr="00DB7230" w:rsidRDefault="008D0DE5">
            <w:pPr>
              <w:tabs>
                <w:tab w:val="left" w:pos="-720"/>
              </w:tabs>
              <w:spacing w:before="96" w:after="96"/>
              <w:rPr>
                <w:rFonts w:ascii="Arial" w:hAnsi="Arial" w:cs="Arial"/>
                <w:sz w:val="22"/>
                <w:szCs w:val="22"/>
              </w:rPr>
            </w:pPr>
          </w:p>
        </w:tc>
      </w:tr>
      <w:tr w:rsidR="008D0DE5" w:rsidRPr="00DB7230" w14:paraId="566E5B8A" w14:textId="77777777" w:rsidTr="6C4217BD">
        <w:trPr>
          <w:trHeight w:val="249"/>
        </w:trPr>
        <w:tc>
          <w:tcPr>
            <w:tcW w:w="2047" w:type="dxa"/>
          </w:tcPr>
          <w:p w14:paraId="0000000B" w14:textId="77777777" w:rsidR="008D0DE5" w:rsidRPr="00DB7230" w:rsidRDefault="00C42A31">
            <w:pPr>
              <w:tabs>
                <w:tab w:val="left" w:pos="-720"/>
              </w:tabs>
              <w:spacing w:before="96" w:after="96"/>
              <w:rPr>
                <w:rFonts w:ascii="Arial" w:hAnsi="Arial" w:cs="Arial"/>
                <w:b/>
                <w:sz w:val="22"/>
                <w:szCs w:val="22"/>
              </w:rPr>
            </w:pPr>
            <w:r w:rsidRPr="00DB7230">
              <w:rPr>
                <w:rFonts w:ascii="Arial" w:hAnsi="Arial" w:cs="Arial"/>
                <w:b/>
                <w:sz w:val="22"/>
                <w:szCs w:val="22"/>
              </w:rPr>
              <w:t>Territory</w:t>
            </w:r>
          </w:p>
        </w:tc>
        <w:tc>
          <w:tcPr>
            <w:tcW w:w="12600" w:type="dxa"/>
          </w:tcPr>
          <w:p w14:paraId="0000000C" w14:textId="08A8CA09" w:rsidR="008D0DE5" w:rsidRPr="00DB7230" w:rsidRDefault="00C42A31" w:rsidP="00B0017B">
            <w:pPr>
              <w:tabs>
                <w:tab w:val="left" w:pos="-720"/>
              </w:tabs>
              <w:spacing w:before="96" w:after="96"/>
              <w:rPr>
                <w:rFonts w:ascii="Arial" w:hAnsi="Arial" w:cs="Arial"/>
                <w:sz w:val="22"/>
                <w:szCs w:val="22"/>
              </w:rPr>
            </w:pPr>
            <w:r w:rsidRPr="00DB7230">
              <w:rPr>
                <w:rFonts w:ascii="Arial" w:hAnsi="Arial" w:cs="Arial"/>
                <w:sz w:val="22"/>
                <w:szCs w:val="22"/>
              </w:rPr>
              <w:t>“</w:t>
            </w:r>
            <w:r w:rsidRPr="00DB7230">
              <w:rPr>
                <w:rFonts w:ascii="Arial" w:hAnsi="Arial" w:cs="Arial"/>
                <w:b/>
                <w:sz w:val="22"/>
                <w:szCs w:val="22"/>
              </w:rPr>
              <w:t>Territory</w:t>
            </w:r>
            <w:r w:rsidRPr="00DB7230">
              <w:rPr>
                <w:rFonts w:ascii="Arial" w:hAnsi="Arial" w:cs="Arial"/>
                <w:sz w:val="22"/>
                <w:szCs w:val="22"/>
              </w:rPr>
              <w:t xml:space="preserve">” means </w:t>
            </w:r>
            <w:r w:rsidR="00537DEE" w:rsidRPr="00DB7230">
              <w:rPr>
                <w:rFonts w:ascii="Arial" w:hAnsi="Arial" w:cs="Arial"/>
                <w:sz w:val="22"/>
                <w:szCs w:val="22"/>
              </w:rPr>
              <w:t>worldwide.</w:t>
            </w:r>
          </w:p>
        </w:tc>
      </w:tr>
      <w:tr w:rsidR="008D0DE5" w:rsidRPr="00DB7230" w14:paraId="62BAAE0C" w14:textId="77777777" w:rsidTr="6C4217BD">
        <w:trPr>
          <w:trHeight w:val="249"/>
        </w:trPr>
        <w:tc>
          <w:tcPr>
            <w:tcW w:w="2047" w:type="dxa"/>
          </w:tcPr>
          <w:p w14:paraId="0000000D" w14:textId="77777777" w:rsidR="008D0DE5" w:rsidRPr="00DB7230" w:rsidRDefault="00C42A31">
            <w:pPr>
              <w:tabs>
                <w:tab w:val="left" w:pos="-720"/>
              </w:tabs>
              <w:spacing w:before="96" w:after="96"/>
              <w:rPr>
                <w:rFonts w:ascii="Arial" w:hAnsi="Arial" w:cs="Arial"/>
                <w:b/>
                <w:sz w:val="22"/>
                <w:szCs w:val="22"/>
              </w:rPr>
            </w:pPr>
            <w:r w:rsidRPr="00DB7230">
              <w:rPr>
                <w:rFonts w:ascii="Arial" w:hAnsi="Arial" w:cs="Arial"/>
                <w:b/>
                <w:sz w:val="22"/>
                <w:szCs w:val="22"/>
              </w:rPr>
              <w:t>Field of Use</w:t>
            </w:r>
          </w:p>
        </w:tc>
        <w:tc>
          <w:tcPr>
            <w:tcW w:w="12600" w:type="dxa"/>
          </w:tcPr>
          <w:p w14:paraId="0000000E" w14:textId="55B7F0D0" w:rsidR="008D0DE5" w:rsidRPr="00DB7230" w:rsidRDefault="00C42A31">
            <w:pPr>
              <w:tabs>
                <w:tab w:val="left" w:pos="-720"/>
              </w:tabs>
              <w:spacing w:before="96" w:after="96"/>
              <w:rPr>
                <w:rFonts w:ascii="Arial" w:hAnsi="Arial" w:cs="Arial"/>
                <w:sz w:val="22"/>
                <w:szCs w:val="22"/>
              </w:rPr>
            </w:pPr>
            <w:r w:rsidRPr="00DB7230">
              <w:rPr>
                <w:rFonts w:ascii="Arial" w:hAnsi="Arial" w:cs="Arial"/>
                <w:sz w:val="22"/>
                <w:szCs w:val="22"/>
              </w:rPr>
              <w:t>[any and all uses [in humans</w:t>
            </w:r>
            <w:proofErr w:type="gramStart"/>
            <w:r w:rsidRPr="00DB7230">
              <w:rPr>
                <w:rFonts w:ascii="Arial" w:hAnsi="Arial" w:cs="Arial"/>
                <w:sz w:val="22"/>
                <w:szCs w:val="22"/>
              </w:rPr>
              <w:t>] ]</w:t>
            </w:r>
            <w:proofErr w:type="gramEnd"/>
            <w:r w:rsidR="00B902E3" w:rsidRPr="00DB7230">
              <w:rPr>
                <w:rStyle w:val="FootnoteReference"/>
                <w:rFonts w:ascii="Arial" w:hAnsi="Arial" w:cs="Arial"/>
                <w:sz w:val="22"/>
                <w:szCs w:val="22"/>
              </w:rPr>
              <w:footnoteReference w:id="3"/>
            </w:r>
          </w:p>
        </w:tc>
      </w:tr>
      <w:tr w:rsidR="00D21497" w:rsidRPr="00DB7230" w14:paraId="69A59792" w14:textId="77777777" w:rsidTr="6C4217BD">
        <w:trPr>
          <w:trHeight w:val="249"/>
        </w:trPr>
        <w:tc>
          <w:tcPr>
            <w:tcW w:w="2047" w:type="dxa"/>
          </w:tcPr>
          <w:p w14:paraId="23ECE63B" w14:textId="77777777" w:rsidR="00D21497" w:rsidRPr="00DB7230" w:rsidRDefault="00D21497" w:rsidP="00D21497">
            <w:pPr>
              <w:tabs>
                <w:tab w:val="left" w:pos="-720"/>
              </w:tabs>
              <w:spacing w:before="96" w:after="96"/>
              <w:rPr>
                <w:rFonts w:ascii="Arial" w:hAnsi="Arial" w:cs="Arial"/>
                <w:b/>
                <w:sz w:val="22"/>
                <w:szCs w:val="22"/>
              </w:rPr>
            </w:pPr>
            <w:r w:rsidRPr="00DB7230">
              <w:rPr>
                <w:rFonts w:ascii="Arial" w:hAnsi="Arial" w:cs="Arial"/>
                <w:b/>
                <w:sz w:val="22"/>
                <w:szCs w:val="22"/>
              </w:rPr>
              <w:t>Term</w:t>
            </w:r>
          </w:p>
          <w:p w14:paraId="6866DAF5" w14:textId="6CFB6D9B" w:rsidR="00D21497" w:rsidRPr="00DB7230" w:rsidRDefault="00D21497" w:rsidP="00D21497">
            <w:pPr>
              <w:tabs>
                <w:tab w:val="left" w:pos="-720"/>
              </w:tabs>
              <w:spacing w:before="96" w:after="96"/>
              <w:rPr>
                <w:rFonts w:ascii="Arial" w:hAnsi="Arial" w:cs="Arial"/>
                <w:b/>
                <w:sz w:val="22"/>
                <w:szCs w:val="22"/>
              </w:rPr>
            </w:pPr>
          </w:p>
        </w:tc>
        <w:tc>
          <w:tcPr>
            <w:tcW w:w="12600" w:type="dxa"/>
          </w:tcPr>
          <w:p w14:paraId="4CEAE024" w14:textId="611F2674" w:rsidR="00D21497" w:rsidRPr="00DB7230" w:rsidRDefault="00D21497" w:rsidP="00D21497">
            <w:pPr>
              <w:tabs>
                <w:tab w:val="left" w:pos="-720"/>
              </w:tabs>
              <w:spacing w:before="96" w:after="96"/>
              <w:rPr>
                <w:rFonts w:ascii="Arial" w:hAnsi="Arial" w:cs="Arial"/>
                <w:sz w:val="22"/>
                <w:szCs w:val="22"/>
              </w:rPr>
            </w:pPr>
            <w:r w:rsidRPr="00DB7230">
              <w:rPr>
                <w:rFonts w:ascii="Arial" w:hAnsi="Arial" w:cs="Arial"/>
                <w:sz w:val="22"/>
                <w:szCs w:val="22"/>
              </w:rPr>
              <w:t xml:space="preserve">The License Agreement </w:t>
            </w:r>
            <w:r w:rsidR="00AE7FD5" w:rsidRPr="00DB7230">
              <w:rPr>
                <w:rFonts w:ascii="Arial" w:hAnsi="Arial" w:cs="Arial"/>
                <w:sz w:val="22"/>
                <w:szCs w:val="22"/>
              </w:rPr>
              <w:t xml:space="preserve">will </w:t>
            </w:r>
            <w:r w:rsidRPr="00DB7230">
              <w:rPr>
                <w:rFonts w:ascii="Arial" w:hAnsi="Arial" w:cs="Arial"/>
                <w:sz w:val="22"/>
                <w:szCs w:val="22"/>
              </w:rPr>
              <w:t xml:space="preserve">begin on the Effective Date and </w:t>
            </w:r>
            <w:r w:rsidR="00AE7FD5" w:rsidRPr="00DB7230">
              <w:rPr>
                <w:rFonts w:ascii="Arial" w:hAnsi="Arial" w:cs="Arial"/>
                <w:sz w:val="22"/>
                <w:szCs w:val="22"/>
              </w:rPr>
              <w:t>will</w:t>
            </w:r>
            <w:r w:rsidRPr="00DB7230">
              <w:rPr>
                <w:rFonts w:ascii="Arial" w:hAnsi="Arial" w:cs="Arial"/>
                <w:sz w:val="22"/>
                <w:szCs w:val="22"/>
              </w:rPr>
              <w:t xml:space="preserve"> expire upon expiration of the</w:t>
            </w:r>
            <w:r w:rsidR="00C45EC9" w:rsidRPr="00DB7230">
              <w:rPr>
                <w:rFonts w:ascii="Arial" w:hAnsi="Arial" w:cs="Arial"/>
                <w:sz w:val="22"/>
                <w:szCs w:val="22"/>
              </w:rPr>
              <w:t xml:space="preserve"> last remaining</w:t>
            </w:r>
            <w:r w:rsidRPr="00DB7230">
              <w:rPr>
                <w:rFonts w:ascii="Arial" w:hAnsi="Arial" w:cs="Arial"/>
                <w:sz w:val="22"/>
                <w:szCs w:val="22"/>
              </w:rPr>
              <w:t xml:space="preserve"> </w:t>
            </w:r>
            <w:r w:rsidR="004A5DD0" w:rsidRPr="00DB7230">
              <w:rPr>
                <w:rFonts w:ascii="Arial" w:hAnsi="Arial" w:cs="Arial"/>
                <w:sz w:val="22"/>
                <w:szCs w:val="22"/>
              </w:rPr>
              <w:t>Royalty Term</w:t>
            </w:r>
            <w:r w:rsidRPr="00DB7230">
              <w:rPr>
                <w:rFonts w:ascii="Arial" w:hAnsi="Arial" w:cs="Arial"/>
                <w:sz w:val="22"/>
                <w:szCs w:val="22"/>
              </w:rPr>
              <w:t xml:space="preserve">, unless earlier terminated in accordance with the termination provisions. On a Licensed Product-by-Licensed Product and country-by-country basis, upon expiration of the applicable Royalty Term, Licensee </w:t>
            </w:r>
            <w:r w:rsidR="00AE7FD5" w:rsidRPr="00DB7230">
              <w:rPr>
                <w:rFonts w:ascii="Arial" w:hAnsi="Arial" w:cs="Arial"/>
                <w:sz w:val="22"/>
                <w:szCs w:val="22"/>
              </w:rPr>
              <w:t>will</w:t>
            </w:r>
            <w:r w:rsidRPr="00DB7230">
              <w:rPr>
                <w:rFonts w:ascii="Arial" w:hAnsi="Arial" w:cs="Arial"/>
                <w:sz w:val="22"/>
                <w:szCs w:val="22"/>
              </w:rPr>
              <w:t xml:space="preserve"> have a fully paid-up perpetual license to Licensed Know-How for such Licensed Product in such country</w:t>
            </w:r>
            <w:r w:rsidR="00DD6FC1" w:rsidRPr="00DB7230">
              <w:rPr>
                <w:rFonts w:ascii="Arial" w:hAnsi="Arial" w:cs="Arial"/>
                <w:sz w:val="22"/>
                <w:szCs w:val="22"/>
              </w:rPr>
              <w:t xml:space="preserve"> (“country” shall also be deemed to refer to territories)</w:t>
            </w:r>
            <w:r w:rsidRPr="00DB7230">
              <w:rPr>
                <w:rFonts w:ascii="Arial" w:hAnsi="Arial" w:cs="Arial"/>
                <w:sz w:val="22"/>
                <w:szCs w:val="22"/>
              </w:rPr>
              <w:t xml:space="preserve">. </w:t>
            </w:r>
          </w:p>
        </w:tc>
      </w:tr>
      <w:tr w:rsidR="00D21497" w:rsidRPr="00DB7230" w14:paraId="1CD034EB" w14:textId="77777777" w:rsidTr="6C4217BD">
        <w:trPr>
          <w:trHeight w:val="249"/>
        </w:trPr>
        <w:tc>
          <w:tcPr>
            <w:tcW w:w="2047" w:type="dxa"/>
          </w:tcPr>
          <w:p w14:paraId="00000011" w14:textId="77777777" w:rsidR="00D21497" w:rsidRPr="00DB7230" w:rsidRDefault="00D21497" w:rsidP="00D21497">
            <w:pPr>
              <w:tabs>
                <w:tab w:val="left" w:pos="-720"/>
              </w:tabs>
              <w:spacing w:before="96" w:after="96"/>
              <w:rPr>
                <w:rFonts w:ascii="Arial" w:hAnsi="Arial" w:cs="Arial"/>
                <w:b/>
                <w:sz w:val="22"/>
                <w:szCs w:val="22"/>
              </w:rPr>
            </w:pPr>
            <w:r w:rsidRPr="00DB7230">
              <w:rPr>
                <w:rFonts w:ascii="Arial" w:hAnsi="Arial" w:cs="Arial"/>
                <w:b/>
                <w:sz w:val="22"/>
                <w:szCs w:val="22"/>
              </w:rPr>
              <w:t>Patent Rights</w:t>
            </w:r>
          </w:p>
        </w:tc>
        <w:tc>
          <w:tcPr>
            <w:tcW w:w="12600" w:type="dxa"/>
          </w:tcPr>
          <w:p w14:paraId="00000012" w14:textId="3084F271" w:rsidR="00D21497" w:rsidRPr="00DB7230" w:rsidRDefault="00D21497" w:rsidP="00D21497">
            <w:pPr>
              <w:spacing w:after="120"/>
              <w:rPr>
                <w:rFonts w:ascii="Arial" w:hAnsi="Arial" w:cs="Arial"/>
                <w:sz w:val="22"/>
                <w:szCs w:val="22"/>
              </w:rPr>
            </w:pPr>
            <w:r w:rsidRPr="00DB7230">
              <w:rPr>
                <w:rFonts w:ascii="Arial" w:hAnsi="Arial" w:cs="Arial"/>
                <w:color w:val="000000"/>
                <w:sz w:val="22"/>
                <w:szCs w:val="22"/>
              </w:rPr>
              <w:t>means Licensor’s rights under the following:  </w:t>
            </w:r>
          </w:p>
          <w:p w14:paraId="00000013" w14:textId="77777777" w:rsidR="00D21497" w:rsidRPr="00DB7230" w:rsidRDefault="00D21497" w:rsidP="00D21497">
            <w:pPr>
              <w:ind w:firstLine="432"/>
              <w:rPr>
                <w:rFonts w:ascii="Arial" w:hAnsi="Arial" w:cs="Arial"/>
                <w:sz w:val="22"/>
                <w:szCs w:val="22"/>
              </w:rPr>
            </w:pPr>
            <w:r w:rsidRPr="00DB7230">
              <w:rPr>
                <w:rFonts w:ascii="Arial" w:hAnsi="Arial" w:cs="Arial"/>
                <w:color w:val="000000"/>
                <w:sz w:val="22"/>
                <w:szCs w:val="22"/>
              </w:rPr>
              <w:t xml:space="preserve">(a) the patents and patent applications listed in </w:t>
            </w:r>
            <w:r w:rsidRPr="00DB7230">
              <w:rPr>
                <w:rFonts w:ascii="Arial" w:hAnsi="Arial" w:cs="Arial"/>
                <w:color w:val="000000"/>
                <w:sz w:val="22"/>
                <w:szCs w:val="22"/>
                <w:u w:val="single"/>
              </w:rPr>
              <w:t xml:space="preserve">Exhibit </w:t>
            </w:r>
            <w:proofErr w:type="gramStart"/>
            <w:r w:rsidRPr="00DB7230">
              <w:rPr>
                <w:rFonts w:ascii="Arial" w:hAnsi="Arial" w:cs="Arial"/>
                <w:color w:val="000000"/>
                <w:sz w:val="22"/>
                <w:szCs w:val="22"/>
                <w:u w:val="single"/>
              </w:rPr>
              <w:t>A</w:t>
            </w:r>
            <w:r w:rsidRPr="00DB7230">
              <w:rPr>
                <w:rFonts w:ascii="Arial" w:hAnsi="Arial" w:cs="Arial"/>
                <w:color w:val="000000"/>
                <w:sz w:val="22"/>
                <w:szCs w:val="22"/>
              </w:rPr>
              <w:t>;</w:t>
            </w:r>
            <w:proofErr w:type="gramEnd"/>
            <w:r w:rsidRPr="00DB7230">
              <w:rPr>
                <w:rFonts w:ascii="Arial" w:hAnsi="Arial" w:cs="Arial"/>
                <w:color w:val="000000"/>
                <w:sz w:val="22"/>
                <w:szCs w:val="22"/>
              </w:rPr>
              <w:t> </w:t>
            </w:r>
          </w:p>
          <w:p w14:paraId="00000014" w14:textId="77777777" w:rsidR="00D21497" w:rsidRPr="00DB7230" w:rsidRDefault="00D21497" w:rsidP="00D21497">
            <w:pPr>
              <w:ind w:firstLine="432"/>
              <w:rPr>
                <w:rFonts w:ascii="Arial" w:hAnsi="Arial" w:cs="Arial"/>
                <w:sz w:val="22"/>
                <w:szCs w:val="22"/>
              </w:rPr>
            </w:pPr>
            <w:r w:rsidRPr="00DB7230">
              <w:rPr>
                <w:rFonts w:ascii="Arial" w:hAnsi="Arial" w:cs="Arial"/>
                <w:color w:val="000000"/>
                <w:sz w:val="22"/>
                <w:szCs w:val="22"/>
              </w:rPr>
              <w:t xml:space="preserve">(b) any non-provisional patent applications that claim priority to any provisional patent applications listed in </w:t>
            </w:r>
            <w:r w:rsidRPr="00DB7230">
              <w:rPr>
                <w:rFonts w:ascii="Arial" w:hAnsi="Arial" w:cs="Arial"/>
                <w:color w:val="000000"/>
                <w:sz w:val="22"/>
                <w:szCs w:val="22"/>
                <w:u w:val="single"/>
              </w:rPr>
              <w:t xml:space="preserve">Exhibit </w:t>
            </w:r>
            <w:proofErr w:type="gramStart"/>
            <w:r w:rsidRPr="00DB7230">
              <w:rPr>
                <w:rFonts w:ascii="Arial" w:hAnsi="Arial" w:cs="Arial"/>
                <w:color w:val="000000"/>
                <w:sz w:val="22"/>
                <w:szCs w:val="22"/>
                <w:u w:val="single"/>
              </w:rPr>
              <w:t>A</w:t>
            </w:r>
            <w:r w:rsidRPr="00DB7230">
              <w:rPr>
                <w:rFonts w:ascii="Arial" w:hAnsi="Arial" w:cs="Arial"/>
                <w:color w:val="000000"/>
                <w:sz w:val="22"/>
                <w:szCs w:val="22"/>
              </w:rPr>
              <w:t>;</w:t>
            </w:r>
            <w:proofErr w:type="gramEnd"/>
            <w:r w:rsidRPr="00DB7230">
              <w:rPr>
                <w:rFonts w:ascii="Arial" w:hAnsi="Arial" w:cs="Arial"/>
                <w:color w:val="000000"/>
                <w:sz w:val="22"/>
                <w:szCs w:val="22"/>
              </w:rPr>
              <w:t>  </w:t>
            </w:r>
          </w:p>
          <w:p w14:paraId="00000015" w14:textId="77777777" w:rsidR="00D21497" w:rsidRPr="00DB7230" w:rsidRDefault="00D21497" w:rsidP="00D21497">
            <w:pPr>
              <w:ind w:firstLine="432"/>
              <w:rPr>
                <w:rFonts w:ascii="Arial" w:hAnsi="Arial" w:cs="Arial"/>
                <w:sz w:val="22"/>
                <w:szCs w:val="22"/>
              </w:rPr>
            </w:pPr>
            <w:r w:rsidRPr="00DB7230">
              <w:rPr>
                <w:rFonts w:ascii="Arial" w:hAnsi="Arial" w:cs="Arial"/>
                <w:color w:val="000000"/>
                <w:sz w:val="22"/>
                <w:szCs w:val="22"/>
              </w:rPr>
              <w:t xml:space="preserve">(c) any foreign patent applications, foreign patents or related foreign patent documents that claim priority to a patent or patent application included in (a) or (b) </w:t>
            </w:r>
            <w:proofErr w:type="gramStart"/>
            <w:r w:rsidRPr="00DB7230">
              <w:rPr>
                <w:rFonts w:ascii="Arial" w:hAnsi="Arial" w:cs="Arial"/>
                <w:color w:val="000000"/>
                <w:sz w:val="22"/>
                <w:szCs w:val="22"/>
              </w:rPr>
              <w:t>above;</w:t>
            </w:r>
            <w:proofErr w:type="gramEnd"/>
            <w:r w:rsidRPr="00DB7230">
              <w:rPr>
                <w:rFonts w:ascii="Arial" w:hAnsi="Arial" w:cs="Arial"/>
                <w:color w:val="000000"/>
                <w:sz w:val="22"/>
                <w:szCs w:val="22"/>
              </w:rPr>
              <w:t> </w:t>
            </w:r>
          </w:p>
          <w:p w14:paraId="00000016" w14:textId="77777777" w:rsidR="00D21497" w:rsidRPr="00DB7230" w:rsidRDefault="00D21497" w:rsidP="00D21497">
            <w:pPr>
              <w:ind w:firstLine="432"/>
              <w:rPr>
                <w:rFonts w:ascii="Arial" w:hAnsi="Arial" w:cs="Arial"/>
                <w:sz w:val="22"/>
                <w:szCs w:val="22"/>
              </w:rPr>
            </w:pPr>
            <w:r w:rsidRPr="00DB7230">
              <w:rPr>
                <w:rFonts w:ascii="Arial" w:hAnsi="Arial" w:cs="Arial"/>
                <w:color w:val="000000"/>
                <w:sz w:val="22"/>
                <w:szCs w:val="22"/>
              </w:rPr>
              <w:t xml:space="preserve">(d) any </w:t>
            </w:r>
            <w:proofErr w:type="spellStart"/>
            <w:r w:rsidRPr="00DB7230">
              <w:rPr>
                <w:rFonts w:ascii="Arial" w:hAnsi="Arial" w:cs="Arial"/>
                <w:color w:val="000000"/>
                <w:sz w:val="22"/>
                <w:szCs w:val="22"/>
              </w:rPr>
              <w:t>divisionals</w:t>
            </w:r>
            <w:proofErr w:type="spellEnd"/>
            <w:r w:rsidRPr="00DB7230">
              <w:rPr>
                <w:rFonts w:ascii="Arial" w:hAnsi="Arial" w:cs="Arial"/>
                <w:color w:val="000000"/>
                <w:sz w:val="22"/>
                <w:szCs w:val="22"/>
              </w:rPr>
              <w:t xml:space="preserve"> and continuations of patents or patent applications included in (a), (b), or (c) above (but not continuations-in-part, except as provided in (f) below</w:t>
            </w:r>
            <w:proofErr w:type="gramStart"/>
            <w:r w:rsidRPr="00DB7230">
              <w:rPr>
                <w:rFonts w:ascii="Arial" w:hAnsi="Arial" w:cs="Arial"/>
                <w:color w:val="000000"/>
                <w:sz w:val="22"/>
                <w:szCs w:val="22"/>
              </w:rPr>
              <w:t>);</w:t>
            </w:r>
            <w:proofErr w:type="gramEnd"/>
          </w:p>
          <w:p w14:paraId="00000017" w14:textId="77777777" w:rsidR="00D21497" w:rsidRPr="00DB7230" w:rsidRDefault="00D21497" w:rsidP="00D21497">
            <w:pPr>
              <w:ind w:firstLine="432"/>
              <w:rPr>
                <w:rFonts w:ascii="Arial" w:hAnsi="Arial" w:cs="Arial"/>
                <w:sz w:val="22"/>
                <w:szCs w:val="22"/>
              </w:rPr>
            </w:pPr>
            <w:r w:rsidRPr="00DB7230">
              <w:rPr>
                <w:rFonts w:ascii="Arial" w:hAnsi="Arial" w:cs="Arial"/>
                <w:color w:val="000000"/>
                <w:sz w:val="22"/>
                <w:szCs w:val="22"/>
              </w:rPr>
              <w:t>(e) any patents, reissues, re-examinations, renewals, substitutions, and extensions issuing from the patent specification of any of the preceding; and </w:t>
            </w:r>
          </w:p>
          <w:p w14:paraId="00000018" w14:textId="7755B210" w:rsidR="00D21497" w:rsidRPr="00DB7230" w:rsidRDefault="00D21497" w:rsidP="00D21497">
            <w:pPr>
              <w:ind w:firstLine="432"/>
              <w:rPr>
                <w:rFonts w:ascii="Arial" w:hAnsi="Arial" w:cs="Arial"/>
                <w:color w:val="000000"/>
                <w:sz w:val="22"/>
                <w:szCs w:val="22"/>
              </w:rPr>
            </w:pPr>
            <w:r w:rsidRPr="00DB7230">
              <w:rPr>
                <w:rFonts w:ascii="Arial" w:hAnsi="Arial" w:cs="Arial"/>
                <w:color w:val="000000"/>
                <w:sz w:val="22"/>
                <w:szCs w:val="22"/>
              </w:rPr>
              <w:t>(f) any claims of continuation-in-part applications that claim priority to the U</w:t>
            </w:r>
            <w:r w:rsidR="00976EA1" w:rsidRPr="00DB7230">
              <w:rPr>
                <w:rFonts w:ascii="Arial" w:hAnsi="Arial" w:cs="Arial"/>
                <w:color w:val="000000"/>
                <w:sz w:val="22"/>
                <w:szCs w:val="22"/>
              </w:rPr>
              <w:t>.S.</w:t>
            </w:r>
            <w:r w:rsidRPr="00DB7230">
              <w:rPr>
                <w:rFonts w:ascii="Arial" w:hAnsi="Arial" w:cs="Arial"/>
                <w:color w:val="000000"/>
                <w:sz w:val="22"/>
                <w:szCs w:val="22"/>
              </w:rPr>
              <w:t xml:space="preserve"> patent applications listed in </w:t>
            </w:r>
            <w:r w:rsidRPr="00DB7230">
              <w:rPr>
                <w:rFonts w:ascii="Arial" w:hAnsi="Arial" w:cs="Arial"/>
                <w:color w:val="000000"/>
                <w:sz w:val="22"/>
                <w:szCs w:val="22"/>
                <w:u w:val="single"/>
              </w:rPr>
              <w:t>Exhibit A</w:t>
            </w:r>
            <w:r w:rsidRPr="00DB7230">
              <w:rPr>
                <w:rFonts w:ascii="Arial" w:hAnsi="Arial" w:cs="Arial"/>
                <w:color w:val="000000"/>
                <w:sz w:val="22"/>
                <w:szCs w:val="22"/>
              </w:rPr>
              <w:t xml:space="preserve">, but only to the extent such claims are directed specifically to subject matter described in at least one of the patents or patent </w:t>
            </w:r>
            <w:r w:rsidRPr="00DB7230">
              <w:rPr>
                <w:rFonts w:ascii="Arial" w:hAnsi="Arial" w:cs="Arial"/>
                <w:color w:val="000000"/>
                <w:sz w:val="22"/>
                <w:szCs w:val="22"/>
              </w:rPr>
              <w:lastRenderedPageBreak/>
              <w:t>applications identified in (a)-(e) above that meet the written description requirements of the first paragraph of 35 U.S.C. Section 112.</w:t>
            </w:r>
            <w:r w:rsidRPr="00DB7230">
              <w:rPr>
                <w:rFonts w:ascii="Arial" w:hAnsi="Arial" w:cs="Arial"/>
                <w:color w:val="000000"/>
                <w:sz w:val="22"/>
                <w:szCs w:val="22"/>
                <w:vertAlign w:val="superscript"/>
              </w:rPr>
              <w:footnoteReference w:id="4"/>
            </w:r>
          </w:p>
          <w:p w14:paraId="00000019" w14:textId="77777777" w:rsidR="00D21497" w:rsidRPr="00DB7230" w:rsidRDefault="00D21497" w:rsidP="00D21497">
            <w:pPr>
              <w:ind w:firstLine="432"/>
              <w:rPr>
                <w:rFonts w:ascii="Arial" w:hAnsi="Arial" w:cs="Arial"/>
                <w:color w:val="000000"/>
                <w:sz w:val="22"/>
                <w:szCs w:val="22"/>
              </w:rPr>
            </w:pPr>
          </w:p>
          <w:p w14:paraId="0000001A" w14:textId="7C45C92A" w:rsidR="00D21497" w:rsidRPr="00DB7230" w:rsidRDefault="00D21497" w:rsidP="00D21497">
            <w:pPr>
              <w:spacing w:after="120"/>
              <w:rPr>
                <w:rFonts w:ascii="Arial" w:hAnsi="Arial" w:cs="Arial"/>
                <w:color w:val="000000"/>
                <w:sz w:val="22"/>
                <w:szCs w:val="22"/>
              </w:rPr>
            </w:pPr>
            <w:r w:rsidRPr="00DB7230">
              <w:rPr>
                <w:rFonts w:ascii="Arial" w:hAnsi="Arial" w:cs="Arial"/>
                <w:color w:val="000000"/>
                <w:sz w:val="22"/>
                <w:szCs w:val="22"/>
              </w:rPr>
              <w:t>Patent Rights do not include any inventions conceived (as determined under U</w:t>
            </w:r>
            <w:r w:rsidR="00976EA1" w:rsidRPr="00DB7230">
              <w:rPr>
                <w:rFonts w:ascii="Arial" w:hAnsi="Arial" w:cs="Arial"/>
                <w:color w:val="000000"/>
                <w:sz w:val="22"/>
                <w:szCs w:val="22"/>
              </w:rPr>
              <w:t>.</w:t>
            </w:r>
            <w:r w:rsidRPr="00DB7230">
              <w:rPr>
                <w:rFonts w:ascii="Arial" w:hAnsi="Arial" w:cs="Arial"/>
                <w:color w:val="000000"/>
                <w:sz w:val="22"/>
                <w:szCs w:val="22"/>
              </w:rPr>
              <w:t>S</w:t>
            </w:r>
            <w:r w:rsidR="00976EA1" w:rsidRPr="00DB7230">
              <w:rPr>
                <w:rFonts w:ascii="Arial" w:hAnsi="Arial" w:cs="Arial"/>
                <w:color w:val="000000"/>
                <w:sz w:val="22"/>
                <w:szCs w:val="22"/>
              </w:rPr>
              <w:t>.</w:t>
            </w:r>
            <w:r w:rsidRPr="00DB7230">
              <w:rPr>
                <w:rFonts w:ascii="Arial" w:hAnsi="Arial" w:cs="Arial"/>
                <w:color w:val="000000"/>
                <w:sz w:val="22"/>
                <w:szCs w:val="22"/>
              </w:rPr>
              <w:t xml:space="preserve"> patent law) after the </w:t>
            </w:r>
            <w:r w:rsidRPr="00DB7230">
              <w:rPr>
                <w:rFonts w:ascii="Arial" w:hAnsi="Arial" w:cs="Arial"/>
                <w:bCs/>
                <w:iCs/>
                <w:color w:val="000000"/>
                <w:sz w:val="22"/>
                <w:szCs w:val="22"/>
              </w:rPr>
              <w:t>Effective Date</w:t>
            </w:r>
            <w:r w:rsidRPr="00DB7230">
              <w:rPr>
                <w:rFonts w:ascii="Arial" w:hAnsi="Arial" w:cs="Arial"/>
                <w:color w:val="000000"/>
                <w:sz w:val="22"/>
                <w:szCs w:val="22"/>
              </w:rPr>
              <w:t xml:space="preserve">, provided that to the extent a Patent Right is an Improvement, such Improvement </w:t>
            </w:r>
            <w:r w:rsidR="00AE7FD5" w:rsidRPr="00DB7230">
              <w:rPr>
                <w:rFonts w:ascii="Arial" w:hAnsi="Arial" w:cs="Arial"/>
                <w:color w:val="000000"/>
                <w:sz w:val="22"/>
                <w:szCs w:val="22"/>
              </w:rPr>
              <w:t>will</w:t>
            </w:r>
            <w:r w:rsidRPr="00DB7230">
              <w:rPr>
                <w:rFonts w:ascii="Arial" w:hAnsi="Arial" w:cs="Arial"/>
                <w:color w:val="000000"/>
                <w:sz w:val="22"/>
                <w:szCs w:val="22"/>
              </w:rPr>
              <w:t xml:space="preserve"> be added to </w:t>
            </w:r>
            <w:r w:rsidRPr="00DB7230">
              <w:rPr>
                <w:rFonts w:ascii="Arial" w:hAnsi="Arial" w:cs="Arial"/>
                <w:color w:val="000000"/>
                <w:sz w:val="22"/>
                <w:szCs w:val="22"/>
                <w:u w:val="single"/>
              </w:rPr>
              <w:t>Exhibit A</w:t>
            </w:r>
            <w:r w:rsidRPr="00DB7230">
              <w:rPr>
                <w:rFonts w:ascii="Arial" w:hAnsi="Arial" w:cs="Arial"/>
                <w:color w:val="000000"/>
                <w:sz w:val="22"/>
                <w:szCs w:val="22"/>
              </w:rPr>
              <w:t xml:space="preserve"> by way of amendment.</w:t>
            </w:r>
          </w:p>
        </w:tc>
      </w:tr>
      <w:tr w:rsidR="00D21497" w:rsidRPr="00DB7230" w14:paraId="3C3F14B5" w14:textId="77777777" w:rsidTr="6C4217BD">
        <w:trPr>
          <w:trHeight w:val="249"/>
        </w:trPr>
        <w:tc>
          <w:tcPr>
            <w:tcW w:w="2047" w:type="dxa"/>
          </w:tcPr>
          <w:p w14:paraId="0000001B" w14:textId="77777777" w:rsidR="00D21497" w:rsidRPr="00DB7230" w:rsidRDefault="00D21497" w:rsidP="00D21497">
            <w:pPr>
              <w:tabs>
                <w:tab w:val="left" w:pos="-720"/>
              </w:tabs>
              <w:spacing w:before="96" w:after="96"/>
              <w:rPr>
                <w:rFonts w:ascii="Arial" w:hAnsi="Arial" w:cs="Arial"/>
                <w:b/>
                <w:sz w:val="22"/>
                <w:szCs w:val="22"/>
              </w:rPr>
            </w:pPr>
            <w:r w:rsidRPr="00DB7230">
              <w:rPr>
                <w:rFonts w:ascii="Arial" w:hAnsi="Arial" w:cs="Arial"/>
                <w:b/>
                <w:sz w:val="22"/>
                <w:szCs w:val="22"/>
              </w:rPr>
              <w:lastRenderedPageBreak/>
              <w:t>License to Improvements</w:t>
            </w:r>
            <w:r w:rsidRPr="00DB7230">
              <w:rPr>
                <w:rFonts w:ascii="Arial" w:hAnsi="Arial" w:cs="Arial"/>
                <w:b/>
                <w:sz w:val="22"/>
                <w:szCs w:val="22"/>
                <w:vertAlign w:val="superscript"/>
              </w:rPr>
              <w:footnoteReference w:id="5"/>
            </w:r>
          </w:p>
        </w:tc>
        <w:tc>
          <w:tcPr>
            <w:tcW w:w="12600" w:type="dxa"/>
          </w:tcPr>
          <w:p w14:paraId="0000001C" w14:textId="5C223FD2" w:rsidR="00D21497" w:rsidRPr="00DB7230" w:rsidRDefault="00285CA4" w:rsidP="00F04CF4">
            <w:pPr>
              <w:spacing w:after="120"/>
              <w:rPr>
                <w:rFonts w:ascii="Arial" w:hAnsi="Arial" w:cs="Arial"/>
                <w:color w:val="000000"/>
                <w:sz w:val="22"/>
                <w:szCs w:val="22"/>
              </w:rPr>
            </w:pPr>
            <w:r w:rsidRPr="00DB7230">
              <w:rPr>
                <w:rFonts w:ascii="Arial" w:hAnsi="Arial" w:cs="Arial"/>
                <w:color w:val="000000"/>
                <w:sz w:val="22"/>
                <w:szCs w:val="22"/>
              </w:rPr>
              <w:t xml:space="preserve">Licensor shall disclose to Licensee all </w:t>
            </w:r>
            <w:r w:rsidR="00D21497" w:rsidRPr="00DB7230">
              <w:rPr>
                <w:rFonts w:ascii="Arial" w:hAnsi="Arial" w:cs="Arial"/>
                <w:color w:val="000000"/>
                <w:sz w:val="22"/>
                <w:szCs w:val="22"/>
              </w:rPr>
              <w:t>Improvements</w:t>
            </w:r>
            <w:r w:rsidR="00C94892" w:rsidRPr="00DB7230">
              <w:rPr>
                <w:rFonts w:ascii="Arial" w:hAnsi="Arial" w:cs="Arial"/>
                <w:color w:val="000000"/>
                <w:sz w:val="22"/>
                <w:szCs w:val="22"/>
              </w:rPr>
              <w:t xml:space="preserve"> </w:t>
            </w:r>
            <w:r w:rsidR="00C668C8" w:rsidRPr="00DB7230">
              <w:rPr>
                <w:rFonts w:ascii="Arial" w:hAnsi="Arial" w:cs="Arial"/>
                <w:color w:val="000000"/>
                <w:sz w:val="22"/>
                <w:szCs w:val="22"/>
              </w:rPr>
              <w:t>made</w:t>
            </w:r>
            <w:r w:rsidR="00293296" w:rsidRPr="00DB7230">
              <w:rPr>
                <w:rFonts w:ascii="Arial" w:hAnsi="Arial" w:cs="Arial"/>
                <w:color w:val="000000"/>
                <w:sz w:val="22"/>
                <w:szCs w:val="22"/>
              </w:rPr>
              <w:t xml:space="preserve"> in the laboratory of [Principal Investigator]</w:t>
            </w:r>
            <w:r w:rsidR="00C668C8" w:rsidRPr="00DB7230">
              <w:rPr>
                <w:rFonts w:ascii="Arial" w:hAnsi="Arial" w:cs="Arial"/>
                <w:color w:val="000000"/>
                <w:sz w:val="22"/>
                <w:szCs w:val="22"/>
              </w:rPr>
              <w:t xml:space="preserve"> within [1-3] years of the Effective Date</w:t>
            </w:r>
            <w:r w:rsidR="00293296" w:rsidRPr="00DB7230">
              <w:rPr>
                <w:rFonts w:ascii="Arial" w:hAnsi="Arial" w:cs="Arial"/>
                <w:color w:val="000000"/>
                <w:sz w:val="22"/>
                <w:szCs w:val="22"/>
              </w:rPr>
              <w:t xml:space="preserve"> and disclosed to Licensor by the [Principal Investigator]</w:t>
            </w:r>
            <w:r w:rsidR="00D21497" w:rsidRPr="00DB7230">
              <w:rPr>
                <w:rFonts w:ascii="Arial" w:hAnsi="Arial" w:cs="Arial"/>
                <w:color w:val="000000"/>
                <w:sz w:val="22"/>
                <w:szCs w:val="22"/>
              </w:rPr>
              <w:t xml:space="preserve">. </w:t>
            </w:r>
          </w:p>
          <w:p w14:paraId="2065656D" w14:textId="28F7320F" w:rsidR="00605784" w:rsidRPr="00DB7230" w:rsidRDefault="00605784" w:rsidP="00605784">
            <w:pPr>
              <w:spacing w:before="120" w:after="120"/>
              <w:rPr>
                <w:rFonts w:ascii="Arial" w:hAnsi="Arial" w:cs="Arial"/>
                <w:sz w:val="22"/>
                <w:szCs w:val="22"/>
              </w:rPr>
            </w:pPr>
            <w:r w:rsidRPr="00DB7230">
              <w:rPr>
                <w:rFonts w:ascii="Arial" w:hAnsi="Arial" w:cs="Arial"/>
                <w:sz w:val="22"/>
                <w:szCs w:val="22"/>
              </w:rPr>
              <w:t>Patentable Improvements </w:t>
            </w:r>
            <w:r w:rsidRPr="00DB7230">
              <w:rPr>
                <w:rFonts w:ascii="Arial" w:hAnsi="Arial" w:cs="Arial"/>
                <w:color w:val="000000"/>
                <w:sz w:val="22"/>
                <w:szCs w:val="22"/>
              </w:rPr>
              <w:t xml:space="preserve">shall be added </w:t>
            </w:r>
            <w:r w:rsidR="00C94892" w:rsidRPr="00DB7230">
              <w:rPr>
                <w:rFonts w:ascii="Arial" w:hAnsi="Arial" w:cs="Arial"/>
                <w:color w:val="000000"/>
                <w:sz w:val="22"/>
                <w:szCs w:val="22"/>
              </w:rPr>
              <w:t xml:space="preserve">by amendment </w:t>
            </w:r>
            <w:r w:rsidRPr="00DB7230">
              <w:rPr>
                <w:rFonts w:ascii="Arial" w:hAnsi="Arial" w:cs="Arial"/>
                <w:color w:val="000000"/>
                <w:sz w:val="22"/>
                <w:szCs w:val="22"/>
              </w:rPr>
              <w:t>to the list of Patent Rights in</w:t>
            </w:r>
            <w:r w:rsidR="00222823" w:rsidRPr="00DB7230">
              <w:rPr>
                <w:rFonts w:ascii="Arial" w:hAnsi="Arial" w:cs="Arial"/>
                <w:color w:val="000000"/>
                <w:sz w:val="22"/>
                <w:szCs w:val="22"/>
              </w:rPr>
              <w:t xml:space="preserve"> </w:t>
            </w:r>
            <w:r w:rsidR="00222823" w:rsidRPr="00DB7230">
              <w:rPr>
                <w:rFonts w:ascii="Arial" w:hAnsi="Arial" w:cs="Arial"/>
                <w:color w:val="000000"/>
                <w:sz w:val="22"/>
                <w:szCs w:val="22"/>
                <w:u w:val="single"/>
              </w:rPr>
              <w:t>Exhibit A</w:t>
            </w:r>
            <w:r w:rsidR="00222823" w:rsidRPr="00DB7230">
              <w:rPr>
                <w:rFonts w:ascii="Arial" w:hAnsi="Arial" w:cs="Arial"/>
                <w:color w:val="000000"/>
                <w:sz w:val="22"/>
                <w:szCs w:val="22"/>
              </w:rPr>
              <w:t xml:space="preserve"> of the License Agreement and Improvements that are not patentable </w:t>
            </w:r>
            <w:r w:rsidR="00AE7FD5" w:rsidRPr="00DB7230">
              <w:rPr>
                <w:rFonts w:ascii="Arial" w:hAnsi="Arial" w:cs="Arial"/>
                <w:color w:val="000000"/>
                <w:sz w:val="22"/>
                <w:szCs w:val="22"/>
              </w:rPr>
              <w:t>will</w:t>
            </w:r>
            <w:r w:rsidR="00222823" w:rsidRPr="00DB7230">
              <w:rPr>
                <w:rFonts w:ascii="Arial" w:hAnsi="Arial" w:cs="Arial"/>
                <w:color w:val="000000"/>
                <w:sz w:val="22"/>
                <w:szCs w:val="22"/>
              </w:rPr>
              <w:t xml:space="preserve"> be considered Licensed Know-How and shall be added to </w:t>
            </w:r>
            <w:r w:rsidR="00222823" w:rsidRPr="00DB7230">
              <w:rPr>
                <w:rFonts w:ascii="Arial" w:hAnsi="Arial" w:cs="Arial"/>
                <w:color w:val="000000"/>
                <w:sz w:val="22"/>
                <w:szCs w:val="22"/>
                <w:u w:val="single"/>
              </w:rPr>
              <w:t>Exhibit B</w:t>
            </w:r>
            <w:r w:rsidR="00222823" w:rsidRPr="00DB7230">
              <w:rPr>
                <w:rFonts w:ascii="Arial" w:hAnsi="Arial" w:cs="Arial"/>
                <w:color w:val="000000"/>
                <w:sz w:val="22"/>
                <w:szCs w:val="22"/>
              </w:rPr>
              <w:t xml:space="preserve"> of the License Agreement </w:t>
            </w:r>
            <w:r w:rsidRPr="00DB7230">
              <w:rPr>
                <w:rFonts w:ascii="Arial" w:hAnsi="Arial" w:cs="Arial"/>
                <w:color w:val="000000"/>
                <w:sz w:val="22"/>
                <w:szCs w:val="22"/>
              </w:rPr>
              <w:t>[in both cases by mutual agreement of the parties] and </w:t>
            </w:r>
            <w:r w:rsidR="00222823" w:rsidRPr="00DB7230">
              <w:rPr>
                <w:rFonts w:ascii="Arial" w:hAnsi="Arial" w:cs="Arial"/>
                <w:color w:val="000000"/>
                <w:sz w:val="22"/>
                <w:szCs w:val="22"/>
              </w:rPr>
              <w:t xml:space="preserve">shall be </w:t>
            </w:r>
            <w:r w:rsidRPr="00DB7230">
              <w:rPr>
                <w:rFonts w:ascii="Arial" w:hAnsi="Arial" w:cs="Arial"/>
                <w:color w:val="000000"/>
                <w:sz w:val="22"/>
                <w:szCs w:val="22"/>
              </w:rPr>
              <w:t>licensed on the same terms of the License</w:t>
            </w:r>
            <w:r w:rsidR="00222823" w:rsidRPr="00DB7230">
              <w:rPr>
                <w:rFonts w:ascii="Arial" w:hAnsi="Arial" w:cs="Arial"/>
                <w:color w:val="000000"/>
                <w:sz w:val="22"/>
                <w:szCs w:val="22"/>
              </w:rPr>
              <w:t>, with the option of minor additional economic terms (e.g., an upfront fee)</w:t>
            </w:r>
            <w:r w:rsidRPr="00DB7230">
              <w:rPr>
                <w:rFonts w:ascii="Arial" w:hAnsi="Arial" w:cs="Arial"/>
                <w:sz w:val="22"/>
                <w:szCs w:val="22"/>
              </w:rPr>
              <w:t xml:space="preserve">. </w:t>
            </w:r>
          </w:p>
          <w:p w14:paraId="0C05C609" w14:textId="00E14E71" w:rsidR="00C668C8" w:rsidRPr="00DB7230" w:rsidRDefault="00C668C8" w:rsidP="00D21497">
            <w:pPr>
              <w:spacing w:before="120" w:after="120"/>
              <w:rPr>
                <w:rFonts w:ascii="Arial" w:hAnsi="Arial" w:cs="Arial"/>
                <w:sz w:val="22"/>
                <w:szCs w:val="22"/>
              </w:rPr>
            </w:pPr>
            <w:r w:rsidRPr="00DB7230">
              <w:rPr>
                <w:rFonts w:ascii="Arial" w:hAnsi="Arial" w:cs="Arial"/>
                <w:b/>
                <w:bCs/>
                <w:i/>
                <w:sz w:val="22"/>
                <w:szCs w:val="22"/>
              </w:rPr>
              <w:t xml:space="preserve">(Note: </w:t>
            </w:r>
            <w:r w:rsidR="00285CA4" w:rsidRPr="00DB7230">
              <w:rPr>
                <w:rFonts w:ascii="Arial" w:hAnsi="Arial" w:cs="Arial"/>
                <w:b/>
                <w:bCs/>
                <w:i/>
                <w:sz w:val="22"/>
                <w:szCs w:val="22"/>
              </w:rPr>
              <w:t>add this language</w:t>
            </w:r>
            <w:r w:rsidRPr="00DB7230">
              <w:rPr>
                <w:rFonts w:ascii="Arial" w:hAnsi="Arial" w:cs="Arial"/>
                <w:b/>
                <w:bCs/>
                <w:i/>
                <w:sz w:val="22"/>
                <w:szCs w:val="22"/>
              </w:rPr>
              <w:t xml:space="preserve"> where an SRA is executed in </w:t>
            </w:r>
            <w:r w:rsidR="00A0359E" w:rsidRPr="00DB7230">
              <w:rPr>
                <w:rFonts w:ascii="Arial" w:hAnsi="Arial" w:cs="Arial"/>
                <w:b/>
                <w:bCs/>
                <w:i/>
                <w:sz w:val="22"/>
                <w:szCs w:val="22"/>
              </w:rPr>
              <w:t>conjunction</w:t>
            </w:r>
            <w:r w:rsidRPr="00DB7230">
              <w:rPr>
                <w:rFonts w:ascii="Arial" w:hAnsi="Arial" w:cs="Arial"/>
                <w:b/>
                <w:bCs/>
                <w:i/>
                <w:sz w:val="22"/>
                <w:szCs w:val="22"/>
              </w:rPr>
              <w:t xml:space="preserve"> with </w:t>
            </w:r>
            <w:r w:rsidR="00285CA4" w:rsidRPr="00DB7230">
              <w:rPr>
                <w:rFonts w:ascii="Arial" w:hAnsi="Arial" w:cs="Arial"/>
                <w:b/>
                <w:bCs/>
                <w:i/>
                <w:sz w:val="22"/>
                <w:szCs w:val="22"/>
              </w:rPr>
              <w:t>the</w:t>
            </w:r>
            <w:r w:rsidRPr="00DB7230">
              <w:rPr>
                <w:rFonts w:ascii="Arial" w:hAnsi="Arial" w:cs="Arial"/>
                <w:b/>
                <w:bCs/>
                <w:i/>
                <w:sz w:val="22"/>
                <w:szCs w:val="22"/>
              </w:rPr>
              <w:t xml:space="preserve"> License:)</w:t>
            </w:r>
            <w:r w:rsidRPr="00DB7230">
              <w:rPr>
                <w:rFonts w:ascii="Arial" w:hAnsi="Arial" w:cs="Arial"/>
                <w:i/>
                <w:sz w:val="22"/>
                <w:szCs w:val="22"/>
              </w:rPr>
              <w:t xml:space="preserve"> </w:t>
            </w:r>
            <w:r w:rsidR="00285CA4" w:rsidRPr="00DB7230">
              <w:rPr>
                <w:rFonts w:ascii="Arial" w:hAnsi="Arial" w:cs="Arial"/>
                <w:sz w:val="22"/>
                <w:szCs w:val="22"/>
              </w:rPr>
              <w:t>In addition, a</w:t>
            </w:r>
            <w:r w:rsidRPr="00DB7230">
              <w:rPr>
                <w:rFonts w:ascii="Arial" w:hAnsi="Arial" w:cs="Arial"/>
                <w:sz w:val="22"/>
                <w:szCs w:val="22"/>
              </w:rPr>
              <w:t>ny Improvements that are developed under the SRA in the laboratory of [name the Principal Investigator] shall be included in the License as Patent Rights.)</w:t>
            </w:r>
          </w:p>
          <w:p w14:paraId="0000001E" w14:textId="4405BB29" w:rsidR="00D21497" w:rsidRPr="00DB7230" w:rsidRDefault="00D21497" w:rsidP="00605784">
            <w:pPr>
              <w:spacing w:before="120" w:after="120"/>
              <w:rPr>
                <w:rFonts w:ascii="Arial" w:hAnsi="Arial" w:cs="Arial"/>
                <w:sz w:val="22"/>
                <w:szCs w:val="22"/>
              </w:rPr>
            </w:pPr>
            <w:r w:rsidRPr="00DB7230">
              <w:rPr>
                <w:rFonts w:ascii="Arial" w:hAnsi="Arial" w:cs="Arial"/>
                <w:sz w:val="22"/>
                <w:szCs w:val="22"/>
              </w:rPr>
              <w:t>“</w:t>
            </w:r>
            <w:r w:rsidRPr="00DB7230">
              <w:rPr>
                <w:rFonts w:ascii="Arial" w:hAnsi="Arial" w:cs="Arial"/>
                <w:b/>
                <w:sz w:val="22"/>
                <w:szCs w:val="22"/>
              </w:rPr>
              <w:t>Improvement</w:t>
            </w:r>
            <w:r w:rsidRPr="00DB7230">
              <w:rPr>
                <w:rFonts w:ascii="Arial" w:hAnsi="Arial" w:cs="Arial"/>
                <w:sz w:val="22"/>
                <w:szCs w:val="22"/>
              </w:rPr>
              <w:t>” means any invention</w:t>
            </w:r>
            <w:r w:rsidR="000C2AF6" w:rsidRPr="00DB7230">
              <w:rPr>
                <w:rFonts w:ascii="Arial" w:hAnsi="Arial" w:cs="Arial"/>
                <w:sz w:val="22"/>
                <w:szCs w:val="22"/>
              </w:rPr>
              <w:t>, patentable or otherwise,</w:t>
            </w:r>
            <w:r w:rsidRPr="00DB7230">
              <w:rPr>
                <w:rFonts w:ascii="Arial" w:hAnsi="Arial" w:cs="Arial"/>
                <w:sz w:val="22"/>
                <w:szCs w:val="22"/>
              </w:rPr>
              <w:t xml:space="preserve"> conceived </w:t>
            </w:r>
            <w:r w:rsidR="005A3A1C" w:rsidRPr="00DB7230">
              <w:rPr>
                <w:rFonts w:ascii="Arial" w:hAnsi="Arial" w:cs="Arial"/>
                <w:sz w:val="22"/>
                <w:szCs w:val="22"/>
              </w:rPr>
              <w:t xml:space="preserve">under the direction of the </w:t>
            </w:r>
            <w:r w:rsidR="00E830E8" w:rsidRPr="00DB7230">
              <w:rPr>
                <w:rFonts w:ascii="Arial" w:hAnsi="Arial" w:cs="Arial"/>
                <w:sz w:val="22"/>
                <w:szCs w:val="22"/>
              </w:rPr>
              <w:t xml:space="preserve">[Principal Investigator] </w:t>
            </w:r>
            <w:r w:rsidRPr="00DB7230">
              <w:rPr>
                <w:rFonts w:ascii="Arial" w:hAnsi="Arial" w:cs="Arial"/>
                <w:sz w:val="22"/>
                <w:szCs w:val="22"/>
              </w:rPr>
              <w:t xml:space="preserve">where the </w:t>
            </w:r>
            <w:r w:rsidR="000C2AF6" w:rsidRPr="00DB7230">
              <w:rPr>
                <w:rFonts w:ascii="Arial" w:hAnsi="Arial" w:cs="Arial"/>
                <w:sz w:val="22"/>
                <w:szCs w:val="22"/>
              </w:rPr>
              <w:t xml:space="preserve">invention is </w:t>
            </w:r>
            <w:r w:rsidR="00605784" w:rsidRPr="00DB7230">
              <w:rPr>
                <w:rFonts w:ascii="Arial" w:hAnsi="Arial" w:cs="Arial"/>
                <w:sz w:val="22"/>
                <w:szCs w:val="22"/>
              </w:rPr>
              <w:t>(a)</w:t>
            </w:r>
            <w:r w:rsidRPr="00DB7230">
              <w:rPr>
                <w:rFonts w:ascii="Arial" w:hAnsi="Arial" w:cs="Arial"/>
                <w:sz w:val="22"/>
                <w:szCs w:val="22"/>
              </w:rPr>
              <w:t xml:space="preserve"> not encumbered by any </w:t>
            </w:r>
            <w:r w:rsidR="00CF3491" w:rsidRPr="00DB7230">
              <w:rPr>
                <w:rFonts w:ascii="Arial" w:hAnsi="Arial" w:cs="Arial"/>
                <w:sz w:val="22"/>
                <w:szCs w:val="22"/>
              </w:rPr>
              <w:t>third-party</w:t>
            </w:r>
            <w:r w:rsidRPr="00DB7230">
              <w:rPr>
                <w:rFonts w:ascii="Arial" w:hAnsi="Arial" w:cs="Arial"/>
                <w:sz w:val="22"/>
                <w:szCs w:val="22"/>
              </w:rPr>
              <w:t xml:space="preserve"> rights</w:t>
            </w:r>
            <w:r w:rsidR="000C2AF6" w:rsidRPr="00DB7230">
              <w:rPr>
                <w:rFonts w:ascii="Arial" w:hAnsi="Arial" w:cs="Arial"/>
                <w:sz w:val="22"/>
                <w:szCs w:val="22"/>
              </w:rPr>
              <w:t>,</w:t>
            </w:r>
            <w:r w:rsidRPr="00DB7230">
              <w:rPr>
                <w:rFonts w:ascii="Arial" w:hAnsi="Arial" w:cs="Arial"/>
                <w:sz w:val="22"/>
                <w:szCs w:val="22"/>
              </w:rPr>
              <w:t xml:space="preserve"> (</w:t>
            </w:r>
            <w:r w:rsidR="00605784" w:rsidRPr="00DB7230">
              <w:rPr>
                <w:rFonts w:ascii="Arial" w:hAnsi="Arial" w:cs="Arial"/>
                <w:sz w:val="22"/>
                <w:szCs w:val="22"/>
              </w:rPr>
              <w:t>b</w:t>
            </w:r>
            <w:r w:rsidRPr="00DB7230">
              <w:rPr>
                <w:rFonts w:ascii="Arial" w:hAnsi="Arial" w:cs="Arial"/>
                <w:sz w:val="22"/>
                <w:szCs w:val="22"/>
              </w:rPr>
              <w:t>) has been disclosed to Licensor’s technology licensing office</w:t>
            </w:r>
            <w:r w:rsidR="00605784" w:rsidRPr="00DB7230">
              <w:rPr>
                <w:rFonts w:ascii="Arial" w:hAnsi="Arial" w:cs="Arial"/>
                <w:sz w:val="22"/>
                <w:szCs w:val="22"/>
              </w:rPr>
              <w:t>, and (c) for patentable Improvements, would necessarily infringe at least one Valid Claim in the Field of Use. </w:t>
            </w:r>
          </w:p>
        </w:tc>
      </w:tr>
      <w:tr w:rsidR="00D21497" w:rsidRPr="00DB7230" w14:paraId="44A81C89" w14:textId="77777777" w:rsidTr="6C4217BD">
        <w:trPr>
          <w:trHeight w:val="249"/>
        </w:trPr>
        <w:tc>
          <w:tcPr>
            <w:tcW w:w="2047" w:type="dxa"/>
          </w:tcPr>
          <w:p w14:paraId="00000023" w14:textId="137D34EF" w:rsidR="00D21497" w:rsidRPr="00DB7230" w:rsidRDefault="00D21497" w:rsidP="00F04CF4">
            <w:pPr>
              <w:tabs>
                <w:tab w:val="left" w:pos="-720"/>
              </w:tabs>
              <w:spacing w:before="48" w:after="48"/>
              <w:rPr>
                <w:rFonts w:ascii="Arial" w:hAnsi="Arial" w:cs="Arial"/>
                <w:b/>
                <w:sz w:val="22"/>
                <w:szCs w:val="22"/>
              </w:rPr>
            </w:pPr>
            <w:r w:rsidRPr="00DB7230">
              <w:rPr>
                <w:rFonts w:ascii="Arial" w:hAnsi="Arial" w:cs="Arial"/>
                <w:b/>
                <w:sz w:val="22"/>
                <w:szCs w:val="22"/>
              </w:rPr>
              <w:t>License</w:t>
            </w:r>
            <w:r w:rsidR="009624D4" w:rsidRPr="00DB7230">
              <w:rPr>
                <w:rFonts w:ascii="Arial" w:hAnsi="Arial" w:cs="Arial"/>
                <w:b/>
                <w:sz w:val="22"/>
                <w:szCs w:val="22"/>
              </w:rPr>
              <w:t xml:space="preserve"> </w:t>
            </w:r>
          </w:p>
        </w:tc>
        <w:tc>
          <w:tcPr>
            <w:tcW w:w="12600" w:type="dxa"/>
          </w:tcPr>
          <w:p w14:paraId="00000024" w14:textId="6BAE12D4" w:rsidR="00D21497" w:rsidRPr="00DB7230" w:rsidRDefault="00D21497" w:rsidP="00F04CF4">
            <w:pPr>
              <w:tabs>
                <w:tab w:val="left" w:pos="-720"/>
              </w:tabs>
              <w:spacing w:before="48" w:after="48"/>
              <w:rPr>
                <w:rFonts w:ascii="Arial" w:hAnsi="Arial" w:cs="Arial"/>
                <w:sz w:val="22"/>
                <w:szCs w:val="22"/>
              </w:rPr>
            </w:pPr>
            <w:r w:rsidRPr="00DB7230">
              <w:rPr>
                <w:rFonts w:ascii="Arial" w:hAnsi="Arial" w:cs="Arial"/>
                <w:sz w:val="22"/>
                <w:szCs w:val="22"/>
              </w:rPr>
              <w:t xml:space="preserve">Licensor grants to Licensee an exclusive license </w:t>
            </w:r>
            <w:r w:rsidR="00EB6195">
              <w:rPr>
                <w:rFonts w:ascii="Arial" w:hAnsi="Arial" w:cs="Arial"/>
                <w:sz w:val="22"/>
                <w:szCs w:val="22"/>
              </w:rPr>
              <w:t>under</w:t>
            </w:r>
            <w:r w:rsidRPr="00DB7230">
              <w:rPr>
                <w:rFonts w:ascii="Arial" w:hAnsi="Arial" w:cs="Arial"/>
                <w:sz w:val="22"/>
                <w:szCs w:val="22"/>
              </w:rPr>
              <w:t xml:space="preserve"> the Patent Rights, and a non-exclusive license </w:t>
            </w:r>
            <w:r w:rsidR="00EB6195">
              <w:rPr>
                <w:rFonts w:ascii="Arial" w:hAnsi="Arial" w:cs="Arial"/>
                <w:sz w:val="22"/>
                <w:szCs w:val="22"/>
              </w:rPr>
              <w:t>under the</w:t>
            </w:r>
            <w:r w:rsidRPr="00DB7230">
              <w:rPr>
                <w:rFonts w:ascii="Arial" w:hAnsi="Arial" w:cs="Arial"/>
                <w:sz w:val="22"/>
                <w:szCs w:val="22"/>
              </w:rPr>
              <w:t xml:space="preserve"> Licensed Know-How, to research, discover, develop, manufacture/make, have made, use, market, sell, offer to sell, have sold, import, export, distribute, rent, license to end-users or lease Licensed Products in the Field of Use and the Territory.</w:t>
            </w:r>
            <w:r w:rsidR="00DB4E9C" w:rsidRPr="00DB7230">
              <w:rPr>
                <w:rStyle w:val="FootnoteReference"/>
                <w:rFonts w:ascii="Arial" w:hAnsi="Arial" w:cs="Arial"/>
                <w:sz w:val="22"/>
                <w:szCs w:val="22"/>
              </w:rPr>
              <w:footnoteReference w:id="6"/>
            </w:r>
            <w:r w:rsidRPr="00DB7230">
              <w:rPr>
                <w:rFonts w:ascii="Arial" w:hAnsi="Arial" w:cs="Arial"/>
                <w:sz w:val="22"/>
                <w:szCs w:val="22"/>
              </w:rPr>
              <w:t xml:space="preserve"> </w:t>
            </w:r>
          </w:p>
        </w:tc>
      </w:tr>
      <w:tr w:rsidR="00D21497" w:rsidRPr="00DB7230" w14:paraId="525A5698" w14:textId="77777777" w:rsidTr="6C4217BD">
        <w:trPr>
          <w:trHeight w:val="249"/>
        </w:trPr>
        <w:tc>
          <w:tcPr>
            <w:tcW w:w="2047" w:type="dxa"/>
          </w:tcPr>
          <w:p w14:paraId="00000025" w14:textId="217EAB45" w:rsidR="00D21497" w:rsidRPr="00DB7230" w:rsidRDefault="00D21497" w:rsidP="00D21497">
            <w:pPr>
              <w:tabs>
                <w:tab w:val="left" w:pos="-720"/>
              </w:tabs>
              <w:spacing w:before="48" w:after="48"/>
              <w:rPr>
                <w:rFonts w:ascii="Arial" w:hAnsi="Arial" w:cs="Arial"/>
                <w:b/>
                <w:sz w:val="22"/>
                <w:szCs w:val="22"/>
              </w:rPr>
            </w:pPr>
            <w:r w:rsidRPr="00DB7230">
              <w:rPr>
                <w:rFonts w:ascii="Arial" w:hAnsi="Arial" w:cs="Arial"/>
                <w:b/>
                <w:sz w:val="22"/>
                <w:szCs w:val="22"/>
              </w:rPr>
              <w:t>Sublicensing Rights / Requirements</w:t>
            </w:r>
          </w:p>
        </w:tc>
        <w:tc>
          <w:tcPr>
            <w:tcW w:w="12600" w:type="dxa"/>
          </w:tcPr>
          <w:p w14:paraId="0BA08A37" w14:textId="20B23B07" w:rsidR="00FE78C4" w:rsidRPr="00DB7230" w:rsidRDefault="00D21497" w:rsidP="000315AC">
            <w:pPr>
              <w:pStyle w:val="pf0"/>
              <w:rPr>
                <w:rFonts w:ascii="Arial" w:hAnsi="Arial" w:cs="Arial"/>
                <w:sz w:val="22"/>
                <w:szCs w:val="22"/>
              </w:rPr>
            </w:pPr>
            <w:r w:rsidRPr="00DB7230">
              <w:rPr>
                <w:rFonts w:ascii="Arial" w:hAnsi="Arial" w:cs="Arial"/>
                <w:sz w:val="22"/>
                <w:szCs w:val="22"/>
              </w:rPr>
              <w:t xml:space="preserve">The License Agreement shall include the right to grant </w:t>
            </w:r>
            <w:r w:rsidRPr="00DB7230">
              <w:rPr>
                <w:rFonts w:ascii="Arial" w:hAnsi="Arial" w:cs="Arial"/>
                <w:bCs/>
                <w:iCs/>
                <w:sz w:val="22"/>
                <w:szCs w:val="22"/>
              </w:rPr>
              <w:t>Sublicenses</w:t>
            </w:r>
            <w:r w:rsidRPr="00DB7230">
              <w:rPr>
                <w:rFonts w:ascii="Arial" w:hAnsi="Arial" w:cs="Arial"/>
                <w:bCs/>
                <w:sz w:val="22"/>
                <w:szCs w:val="22"/>
              </w:rPr>
              <w:t xml:space="preserve"> through multiple</w:t>
            </w:r>
            <w:r w:rsidRPr="00DB7230">
              <w:rPr>
                <w:rFonts w:ascii="Arial" w:hAnsi="Arial" w:cs="Arial"/>
                <w:bCs/>
                <w:sz w:val="22"/>
                <w:szCs w:val="22"/>
                <w:vertAlign w:val="superscript"/>
              </w:rPr>
              <w:footnoteReference w:id="7"/>
            </w:r>
            <w:r w:rsidRPr="00DB7230">
              <w:rPr>
                <w:rFonts w:ascii="Arial" w:hAnsi="Arial" w:cs="Arial"/>
                <w:bCs/>
                <w:sz w:val="22"/>
                <w:szCs w:val="22"/>
              </w:rPr>
              <w:t xml:space="preserve"> tiers of </w:t>
            </w:r>
            <w:r w:rsidRPr="00DB7230">
              <w:rPr>
                <w:rFonts w:ascii="Arial" w:hAnsi="Arial" w:cs="Arial"/>
                <w:bCs/>
                <w:iCs/>
                <w:sz w:val="22"/>
                <w:szCs w:val="22"/>
              </w:rPr>
              <w:t>Sublicensees</w:t>
            </w:r>
            <w:r w:rsidRPr="00DB7230">
              <w:rPr>
                <w:rFonts w:ascii="Arial" w:hAnsi="Arial" w:cs="Arial"/>
                <w:bCs/>
                <w:sz w:val="22"/>
                <w:szCs w:val="22"/>
              </w:rPr>
              <w:t>.</w:t>
            </w:r>
            <w:r w:rsidRPr="00DB7230">
              <w:rPr>
                <w:rFonts w:ascii="Arial" w:hAnsi="Arial" w:cs="Arial"/>
                <w:sz w:val="22"/>
                <w:szCs w:val="22"/>
              </w:rPr>
              <w:t xml:space="preserve">  Within 30 days after execution of each Sublicense, Licensee </w:t>
            </w:r>
            <w:r w:rsidR="00AE7FD5" w:rsidRPr="00DB7230">
              <w:rPr>
                <w:rFonts w:ascii="Arial" w:hAnsi="Arial" w:cs="Arial"/>
                <w:sz w:val="22"/>
                <w:szCs w:val="22"/>
              </w:rPr>
              <w:t>will</w:t>
            </w:r>
            <w:r w:rsidRPr="00DB7230">
              <w:rPr>
                <w:rFonts w:ascii="Arial" w:hAnsi="Arial" w:cs="Arial"/>
                <w:sz w:val="22"/>
                <w:szCs w:val="22"/>
              </w:rPr>
              <w:t xml:space="preserve"> furnish Licensor a complete copy of </w:t>
            </w:r>
            <w:r w:rsidR="00FE78C4" w:rsidRPr="00DB7230">
              <w:rPr>
                <w:rFonts w:ascii="Arial" w:hAnsi="Arial" w:cs="Arial"/>
                <w:sz w:val="22"/>
                <w:szCs w:val="22"/>
              </w:rPr>
              <w:t>the</w:t>
            </w:r>
            <w:r w:rsidRPr="00DB7230">
              <w:rPr>
                <w:rFonts w:ascii="Arial" w:hAnsi="Arial" w:cs="Arial"/>
                <w:sz w:val="22"/>
                <w:szCs w:val="22"/>
              </w:rPr>
              <w:t xml:space="preserve"> Sublicense</w:t>
            </w:r>
            <w:r w:rsidR="00EB6140" w:rsidRPr="00DB7230">
              <w:rPr>
                <w:rFonts w:ascii="Arial" w:hAnsi="Arial" w:cs="Arial"/>
                <w:sz w:val="22"/>
                <w:szCs w:val="22"/>
              </w:rPr>
              <w:t xml:space="preserve"> </w:t>
            </w:r>
            <w:r w:rsidRPr="00DB7230">
              <w:rPr>
                <w:rFonts w:ascii="Arial" w:hAnsi="Arial" w:cs="Arial"/>
                <w:sz w:val="22"/>
                <w:szCs w:val="22"/>
              </w:rPr>
              <w:t xml:space="preserve">and any amendments to the Sublicense; provided, however, that Licensee has the right to redact any portion of the Sublicense that does not relate to </w:t>
            </w:r>
            <w:r w:rsidRPr="00DB7230">
              <w:rPr>
                <w:rFonts w:ascii="Arial" w:hAnsi="Arial" w:cs="Arial"/>
                <w:sz w:val="22"/>
                <w:szCs w:val="22"/>
              </w:rPr>
              <w:lastRenderedPageBreak/>
              <w:t>the</w:t>
            </w:r>
            <w:r w:rsidR="00E924FA" w:rsidRPr="00DB7230">
              <w:rPr>
                <w:rFonts w:ascii="Arial" w:hAnsi="Arial" w:cs="Arial"/>
                <w:sz w:val="22"/>
                <w:szCs w:val="22"/>
              </w:rPr>
              <w:t xml:space="preserve"> Licensed Products,</w:t>
            </w:r>
            <w:r w:rsidRPr="00DB7230">
              <w:rPr>
                <w:rFonts w:ascii="Arial" w:hAnsi="Arial" w:cs="Arial"/>
                <w:sz w:val="22"/>
                <w:szCs w:val="22"/>
              </w:rPr>
              <w:t xml:space="preserve"> Patent Rights or Licensed Know-How.  </w:t>
            </w:r>
            <w:r w:rsidR="00FE78C4" w:rsidRPr="00DB7230">
              <w:rPr>
                <w:rFonts w:ascii="Arial" w:hAnsi="Arial" w:cs="Arial"/>
                <w:sz w:val="22"/>
                <w:szCs w:val="22"/>
              </w:rPr>
              <w:t>Licensee will not be required to provide Subcontracts to Licensor.</w:t>
            </w:r>
          </w:p>
          <w:p w14:paraId="00000026" w14:textId="0F74FF91" w:rsidR="00D21497" w:rsidRPr="00DB7230" w:rsidRDefault="00D21497" w:rsidP="00F04CF4">
            <w:pPr>
              <w:pStyle w:val="pf0"/>
              <w:rPr>
                <w:rFonts w:ascii="Arial" w:hAnsi="Arial" w:cs="Arial"/>
                <w:sz w:val="22"/>
                <w:szCs w:val="22"/>
              </w:rPr>
            </w:pPr>
            <w:r w:rsidRPr="00DB7230">
              <w:rPr>
                <w:rFonts w:ascii="Arial" w:hAnsi="Arial" w:cs="Arial"/>
                <w:sz w:val="22"/>
                <w:szCs w:val="22"/>
              </w:rPr>
              <w:t xml:space="preserve">Licensee </w:t>
            </w:r>
            <w:r w:rsidR="00AE7FD5" w:rsidRPr="00DB7230">
              <w:rPr>
                <w:rFonts w:ascii="Arial" w:hAnsi="Arial" w:cs="Arial"/>
                <w:sz w:val="22"/>
                <w:szCs w:val="22"/>
              </w:rPr>
              <w:t>will</w:t>
            </w:r>
            <w:r w:rsidRPr="00DB7230">
              <w:rPr>
                <w:rFonts w:ascii="Arial" w:hAnsi="Arial" w:cs="Arial"/>
                <w:sz w:val="22"/>
                <w:szCs w:val="22"/>
              </w:rPr>
              <w:t xml:space="preserve"> require that all Sublicenses be consistent with the terms and conditions of the License Agreement, including e.g., the following duties:  to keep records; to properly mark Licensed Products with patent numbers; to defend, hold harmless, and indemnify Licensor; to maintain insurance; to restrict the use of Licensor’s name and to control exports. Sublicensing is permitted </w:t>
            </w:r>
            <w:proofErr w:type="gramStart"/>
            <w:r w:rsidRPr="00DB7230">
              <w:rPr>
                <w:rFonts w:ascii="Arial" w:hAnsi="Arial" w:cs="Arial"/>
                <w:sz w:val="22"/>
                <w:szCs w:val="22"/>
              </w:rPr>
              <w:t>provided that</w:t>
            </w:r>
            <w:proofErr w:type="gramEnd"/>
            <w:r w:rsidR="00FE78C4" w:rsidRPr="00DB7230">
              <w:rPr>
                <w:rFonts w:ascii="Arial" w:hAnsi="Arial" w:cs="Arial"/>
                <w:sz w:val="22"/>
                <w:szCs w:val="22"/>
              </w:rPr>
              <w:t xml:space="preserve"> </w:t>
            </w:r>
            <w:r w:rsidRPr="00DB7230">
              <w:rPr>
                <w:rFonts w:ascii="Arial" w:hAnsi="Arial" w:cs="Arial"/>
                <w:sz w:val="22"/>
                <w:szCs w:val="22"/>
              </w:rPr>
              <w:t xml:space="preserve">Licensee has exclusive Patent Rights under the License Agreement, </w:t>
            </w:r>
            <w:r w:rsidR="00F31397" w:rsidRPr="00DB7230">
              <w:rPr>
                <w:rFonts w:ascii="Arial" w:hAnsi="Arial" w:cs="Arial"/>
                <w:sz w:val="22"/>
                <w:szCs w:val="22"/>
              </w:rPr>
              <w:t xml:space="preserve">Licensed Know-How is only being sublicensed in connection with Licensed Patent Rights, </w:t>
            </w:r>
            <w:r w:rsidRPr="00DB7230">
              <w:rPr>
                <w:rFonts w:ascii="Arial" w:hAnsi="Arial" w:cs="Arial"/>
                <w:sz w:val="22"/>
                <w:szCs w:val="22"/>
              </w:rPr>
              <w:t>and that Licensee is not in material breach of the License Agreement.</w:t>
            </w:r>
          </w:p>
        </w:tc>
      </w:tr>
      <w:tr w:rsidR="00D21497" w:rsidRPr="00DB7230" w14:paraId="6EB8EBDF" w14:textId="77777777" w:rsidTr="6C4217BD">
        <w:trPr>
          <w:trHeight w:val="249"/>
        </w:trPr>
        <w:tc>
          <w:tcPr>
            <w:tcW w:w="2047" w:type="dxa"/>
          </w:tcPr>
          <w:p w14:paraId="00000027" w14:textId="07F0A117" w:rsidR="00D21497" w:rsidRPr="00DB7230" w:rsidRDefault="00D21497" w:rsidP="00D21497">
            <w:pPr>
              <w:tabs>
                <w:tab w:val="left" w:pos="-720"/>
              </w:tabs>
              <w:spacing w:before="48" w:after="48"/>
              <w:rPr>
                <w:rFonts w:ascii="Arial" w:hAnsi="Arial" w:cs="Arial"/>
                <w:b/>
                <w:sz w:val="22"/>
                <w:szCs w:val="22"/>
              </w:rPr>
            </w:pPr>
            <w:r w:rsidRPr="00DB7230">
              <w:rPr>
                <w:rFonts w:ascii="Arial" w:hAnsi="Arial" w:cs="Arial"/>
                <w:b/>
                <w:sz w:val="22"/>
                <w:szCs w:val="22"/>
              </w:rPr>
              <w:lastRenderedPageBreak/>
              <w:t>Survival of Sublicenses</w:t>
            </w:r>
          </w:p>
        </w:tc>
        <w:tc>
          <w:tcPr>
            <w:tcW w:w="12600" w:type="dxa"/>
          </w:tcPr>
          <w:p w14:paraId="00000028" w14:textId="10153DFD" w:rsidR="00D21497" w:rsidRPr="00DB7230" w:rsidRDefault="00D21497" w:rsidP="00D21497">
            <w:pPr>
              <w:tabs>
                <w:tab w:val="left" w:pos="-720"/>
              </w:tabs>
              <w:spacing w:before="48" w:after="48"/>
              <w:rPr>
                <w:rFonts w:ascii="Arial" w:hAnsi="Arial" w:cs="Arial"/>
                <w:sz w:val="22"/>
                <w:szCs w:val="22"/>
              </w:rPr>
            </w:pPr>
            <w:r w:rsidRPr="00DB7230">
              <w:rPr>
                <w:rFonts w:ascii="Arial" w:hAnsi="Arial" w:cs="Arial"/>
                <w:sz w:val="22"/>
                <w:szCs w:val="22"/>
              </w:rPr>
              <w:t xml:space="preserve">If the License Agreement terminates for any reason, Licensor </w:t>
            </w:r>
            <w:r w:rsidR="00AE7FD5" w:rsidRPr="00DB7230">
              <w:rPr>
                <w:rFonts w:ascii="Arial" w:hAnsi="Arial" w:cs="Arial"/>
                <w:sz w:val="22"/>
                <w:szCs w:val="22"/>
              </w:rPr>
              <w:t>will</w:t>
            </w:r>
            <w:r w:rsidRPr="00DB7230">
              <w:rPr>
                <w:rFonts w:ascii="Arial" w:hAnsi="Arial" w:cs="Arial"/>
                <w:sz w:val="22"/>
                <w:szCs w:val="22"/>
              </w:rPr>
              <w:t xml:space="preserve"> provide to each Sublicensee the right to enter into a license of the </w:t>
            </w:r>
            <w:r w:rsidRPr="00DB7230">
              <w:rPr>
                <w:rFonts w:ascii="Arial" w:hAnsi="Arial" w:cs="Arial"/>
                <w:bCs/>
                <w:iCs/>
                <w:sz w:val="22"/>
                <w:szCs w:val="22"/>
              </w:rPr>
              <w:t>Licensed Technology</w:t>
            </w:r>
            <w:r w:rsidRPr="00DB7230">
              <w:rPr>
                <w:rFonts w:ascii="Arial" w:hAnsi="Arial" w:cs="Arial"/>
                <w:sz w:val="22"/>
                <w:szCs w:val="22"/>
              </w:rPr>
              <w:t xml:space="preserve"> in the applicable Sublicense directly with Licensor</w:t>
            </w:r>
            <w:r w:rsidR="00FE78C4" w:rsidRPr="00DB7230">
              <w:rPr>
                <w:rFonts w:ascii="Arial" w:hAnsi="Arial" w:cs="Arial"/>
                <w:sz w:val="22"/>
                <w:szCs w:val="22"/>
              </w:rPr>
              <w:t xml:space="preserve">, </w:t>
            </w:r>
            <w:r w:rsidRPr="00DB7230">
              <w:rPr>
                <w:rFonts w:ascii="Arial" w:hAnsi="Arial" w:cs="Arial"/>
                <w:sz w:val="22"/>
                <w:szCs w:val="22"/>
              </w:rPr>
              <w:t xml:space="preserve">under the same terms and conditions as the License Agreement </w:t>
            </w:r>
            <w:r w:rsidR="00FE78C4" w:rsidRPr="00DB7230">
              <w:rPr>
                <w:rFonts w:ascii="Arial" w:hAnsi="Arial" w:cs="Arial"/>
                <w:sz w:val="22"/>
                <w:szCs w:val="22"/>
              </w:rPr>
              <w:t>(</w:t>
            </w:r>
            <w:r w:rsidRPr="00DB7230">
              <w:rPr>
                <w:rFonts w:ascii="Arial" w:hAnsi="Arial" w:cs="Arial"/>
                <w:sz w:val="22"/>
                <w:szCs w:val="22"/>
              </w:rPr>
              <w:t>as reasonably applied to such Licensed Technology</w:t>
            </w:r>
            <w:r w:rsidR="00FE78C4" w:rsidRPr="00DB7230">
              <w:rPr>
                <w:rFonts w:ascii="Arial" w:hAnsi="Arial" w:cs="Arial"/>
                <w:sz w:val="22"/>
                <w:szCs w:val="22"/>
              </w:rPr>
              <w:t>)</w:t>
            </w:r>
            <w:r w:rsidRPr="00DB7230">
              <w:rPr>
                <w:rFonts w:ascii="Arial" w:hAnsi="Arial" w:cs="Arial"/>
                <w:sz w:val="22"/>
                <w:szCs w:val="22"/>
              </w:rPr>
              <w:t xml:space="preserve">; provided that (a) Licensor and Sublicensee will discuss in good faith </w:t>
            </w:r>
            <w:r w:rsidR="007C6730">
              <w:rPr>
                <w:rFonts w:ascii="Arial" w:hAnsi="Arial" w:cs="Arial"/>
                <w:sz w:val="22"/>
                <w:szCs w:val="22"/>
              </w:rPr>
              <w:t xml:space="preserve">conforming </w:t>
            </w:r>
            <w:r w:rsidRPr="00DB7230">
              <w:rPr>
                <w:rFonts w:ascii="Arial" w:hAnsi="Arial" w:cs="Arial"/>
                <w:sz w:val="22"/>
                <w:szCs w:val="22"/>
              </w:rPr>
              <w:t xml:space="preserve"> modifications to such terms and conditions and (b) Licensor is not obligated to enter into a license agreement having a scope of Licensed Technology, Field of Use, Territory, or other obligation on the part of Licensor that would exceed those in the applicable Sublicense.</w:t>
            </w:r>
          </w:p>
          <w:p w14:paraId="0000002A" w14:textId="6DC73BA1" w:rsidR="00D21497" w:rsidRPr="00DB7230" w:rsidRDefault="00D21497" w:rsidP="00D21497">
            <w:pPr>
              <w:tabs>
                <w:tab w:val="left" w:pos="-720"/>
              </w:tabs>
              <w:spacing w:before="48" w:after="48"/>
              <w:rPr>
                <w:rFonts w:ascii="Arial" w:hAnsi="Arial" w:cs="Arial"/>
                <w:sz w:val="22"/>
                <w:szCs w:val="22"/>
              </w:rPr>
            </w:pPr>
            <w:r w:rsidRPr="00DB7230">
              <w:rPr>
                <w:rFonts w:ascii="Arial" w:hAnsi="Arial" w:cs="Arial"/>
                <w:sz w:val="22"/>
                <w:szCs w:val="22"/>
              </w:rPr>
              <w:t xml:space="preserve">Licensor’s obligation above </w:t>
            </w:r>
            <w:r w:rsidR="00AE7FD5" w:rsidRPr="00DB7230">
              <w:rPr>
                <w:rFonts w:ascii="Arial" w:hAnsi="Arial" w:cs="Arial"/>
                <w:sz w:val="22"/>
                <w:szCs w:val="22"/>
              </w:rPr>
              <w:t>will</w:t>
            </w:r>
            <w:r w:rsidRPr="00DB7230">
              <w:rPr>
                <w:rFonts w:ascii="Arial" w:hAnsi="Arial" w:cs="Arial"/>
                <w:sz w:val="22"/>
                <w:szCs w:val="22"/>
              </w:rPr>
              <w:t xml:space="preserve"> apply only if (a) Licensor is legally, contractually, and per its policies permitted to enter into such license at the time; (b) Sublicensee provides written notice to both Licensor and Licensee within 90 days after such termination of its desire for such discussions, and Licensee does not dispute the termination; (c) Sublicensee is not an Affiliate of Licensee; and (d</w:t>
            </w:r>
            <w:r w:rsidR="00AD07F5" w:rsidRPr="00DB7230">
              <w:rPr>
                <w:rFonts w:ascii="Arial" w:hAnsi="Arial" w:cs="Arial"/>
                <w:sz w:val="22"/>
                <w:szCs w:val="22"/>
              </w:rPr>
              <w:t>)</w:t>
            </w:r>
            <w:r w:rsidRPr="00DB7230">
              <w:rPr>
                <w:rFonts w:ascii="Arial" w:hAnsi="Arial" w:cs="Arial"/>
                <w:sz w:val="22"/>
                <w:szCs w:val="22"/>
              </w:rPr>
              <w:t xml:space="preserve"> Sublicensee is not in material breach of the Sublicense [in the two year period prior to the License Agreement termination]. </w:t>
            </w:r>
            <w:r w:rsidR="00AF7F95" w:rsidRPr="00DB7230">
              <w:rPr>
                <w:rFonts w:ascii="Arial" w:hAnsi="Arial" w:cs="Arial"/>
                <w:sz w:val="22"/>
                <w:szCs w:val="22"/>
              </w:rPr>
              <w:t>The Sublicense</w:t>
            </w:r>
            <w:r w:rsidR="007C6730">
              <w:rPr>
                <w:rFonts w:ascii="Arial" w:hAnsi="Arial" w:cs="Arial"/>
                <w:sz w:val="22"/>
                <w:szCs w:val="22"/>
              </w:rPr>
              <w:t xml:space="preserve">e’s rights under the Licensed Technology included in the applicable Sublicense shall </w:t>
            </w:r>
            <w:proofErr w:type="gramStart"/>
            <w:r w:rsidR="007C6730">
              <w:rPr>
                <w:rFonts w:ascii="Arial" w:hAnsi="Arial" w:cs="Arial"/>
                <w:sz w:val="22"/>
                <w:szCs w:val="22"/>
              </w:rPr>
              <w:t>survive, and</w:t>
            </w:r>
            <w:proofErr w:type="gramEnd"/>
            <w:r w:rsidR="00AF7F95" w:rsidRPr="00DB7230">
              <w:rPr>
                <w:rFonts w:ascii="Arial" w:hAnsi="Arial" w:cs="Arial"/>
                <w:sz w:val="22"/>
                <w:szCs w:val="22"/>
              </w:rPr>
              <w:t xml:space="preserve"> shall not be terminated during the 90 day notice period and </w:t>
            </w:r>
            <w:r w:rsidR="00FE78C4" w:rsidRPr="00DB7230">
              <w:rPr>
                <w:rFonts w:ascii="Arial" w:hAnsi="Arial" w:cs="Arial"/>
                <w:sz w:val="22"/>
                <w:szCs w:val="22"/>
              </w:rPr>
              <w:t xml:space="preserve">the </w:t>
            </w:r>
            <w:r w:rsidR="00AF7F95" w:rsidRPr="00DB7230">
              <w:rPr>
                <w:rFonts w:ascii="Arial" w:hAnsi="Arial" w:cs="Arial"/>
                <w:sz w:val="22"/>
                <w:szCs w:val="22"/>
              </w:rPr>
              <w:t xml:space="preserve">negotiation period between Licensor and Sublicensee. </w:t>
            </w:r>
            <w:r w:rsidRPr="00DB7230">
              <w:rPr>
                <w:rFonts w:ascii="Arial" w:hAnsi="Arial" w:cs="Arial"/>
                <w:sz w:val="22"/>
                <w:szCs w:val="22"/>
              </w:rPr>
              <w:t xml:space="preserve"> </w:t>
            </w:r>
          </w:p>
        </w:tc>
      </w:tr>
      <w:tr w:rsidR="002658FE" w:rsidRPr="00DB7230" w14:paraId="02874FDD" w14:textId="77777777" w:rsidTr="6C4217BD">
        <w:trPr>
          <w:trHeight w:val="249"/>
        </w:trPr>
        <w:tc>
          <w:tcPr>
            <w:tcW w:w="2047" w:type="dxa"/>
          </w:tcPr>
          <w:p w14:paraId="25B95B7E" w14:textId="3560968B" w:rsidR="002658FE" w:rsidRPr="00DB7230" w:rsidRDefault="002658FE" w:rsidP="00D21497">
            <w:pPr>
              <w:tabs>
                <w:tab w:val="left" w:pos="-720"/>
              </w:tabs>
              <w:spacing w:before="48" w:after="48"/>
              <w:rPr>
                <w:rFonts w:ascii="Arial" w:hAnsi="Arial" w:cs="Arial"/>
                <w:b/>
                <w:sz w:val="22"/>
                <w:szCs w:val="22"/>
              </w:rPr>
            </w:pPr>
            <w:r w:rsidRPr="00DB7230">
              <w:rPr>
                <w:rFonts w:ascii="Arial" w:hAnsi="Arial" w:cs="Arial"/>
                <w:b/>
                <w:sz w:val="22"/>
                <w:szCs w:val="22"/>
              </w:rPr>
              <w:t>Subcontract</w:t>
            </w:r>
            <w:r w:rsidR="00EB6140" w:rsidRPr="00DB7230">
              <w:rPr>
                <w:rFonts w:ascii="Arial" w:hAnsi="Arial" w:cs="Arial"/>
                <w:b/>
                <w:sz w:val="22"/>
                <w:szCs w:val="22"/>
              </w:rPr>
              <w:t>s</w:t>
            </w:r>
          </w:p>
        </w:tc>
        <w:tc>
          <w:tcPr>
            <w:tcW w:w="12600" w:type="dxa"/>
          </w:tcPr>
          <w:p w14:paraId="0F27A9B3" w14:textId="55B6B773" w:rsidR="00347D53" w:rsidRPr="00DB7230" w:rsidRDefault="0096548F" w:rsidP="00347D53">
            <w:pPr>
              <w:tabs>
                <w:tab w:val="left" w:pos="-720"/>
              </w:tabs>
              <w:spacing w:before="48" w:after="48"/>
              <w:rPr>
                <w:rFonts w:ascii="Arial" w:hAnsi="Arial" w:cs="Arial"/>
                <w:sz w:val="22"/>
                <w:szCs w:val="22"/>
              </w:rPr>
            </w:pPr>
            <w:r w:rsidRPr="00DB7230">
              <w:rPr>
                <w:rFonts w:ascii="Arial" w:hAnsi="Arial" w:cs="Arial"/>
                <w:sz w:val="22"/>
                <w:szCs w:val="22"/>
              </w:rPr>
              <w:t xml:space="preserve">Licensee </w:t>
            </w:r>
            <w:r w:rsidR="00E85786" w:rsidRPr="00DB7230">
              <w:rPr>
                <w:rFonts w:ascii="Arial" w:hAnsi="Arial" w:cs="Arial"/>
                <w:sz w:val="22"/>
                <w:szCs w:val="22"/>
              </w:rPr>
              <w:t>may</w:t>
            </w:r>
            <w:r w:rsidRPr="00DB7230">
              <w:rPr>
                <w:rFonts w:ascii="Arial" w:hAnsi="Arial" w:cs="Arial"/>
                <w:sz w:val="22"/>
                <w:szCs w:val="22"/>
              </w:rPr>
              <w:t xml:space="preserve"> engage a subcontractor to perform, on behalf of Licensee, research, development, and manufacturing services under the </w:t>
            </w:r>
            <w:r w:rsidR="00E85786" w:rsidRPr="00DB7230">
              <w:rPr>
                <w:rFonts w:ascii="Arial" w:hAnsi="Arial" w:cs="Arial"/>
                <w:sz w:val="22"/>
                <w:szCs w:val="22"/>
              </w:rPr>
              <w:t>License</w:t>
            </w:r>
            <w:r w:rsidRPr="00DB7230">
              <w:rPr>
                <w:rFonts w:ascii="Arial" w:hAnsi="Arial" w:cs="Arial"/>
                <w:sz w:val="22"/>
                <w:szCs w:val="22"/>
              </w:rPr>
              <w:t xml:space="preserve">, provided that (i) any subcontract will not relieve Licensee from any of its obligations under </w:t>
            </w:r>
            <w:r w:rsidR="00347D53" w:rsidRPr="00DB7230">
              <w:rPr>
                <w:rFonts w:ascii="Arial" w:hAnsi="Arial" w:cs="Arial"/>
                <w:sz w:val="22"/>
                <w:szCs w:val="22"/>
              </w:rPr>
              <w:t>the Lic</w:t>
            </w:r>
            <w:r w:rsidRPr="00DB7230">
              <w:rPr>
                <w:rFonts w:ascii="Arial" w:hAnsi="Arial" w:cs="Arial"/>
                <w:sz w:val="22"/>
                <w:szCs w:val="22"/>
              </w:rPr>
              <w:t>ense; (ii) any act or omission by a subcontractor shall be deemed an act or omission of Licensee</w:t>
            </w:r>
            <w:r w:rsidR="00632D7A" w:rsidRPr="00DB7230">
              <w:rPr>
                <w:rFonts w:ascii="Arial" w:hAnsi="Arial" w:cs="Arial"/>
                <w:sz w:val="22"/>
                <w:szCs w:val="22"/>
              </w:rPr>
              <w:t>;</w:t>
            </w:r>
            <w:r w:rsidRPr="00DB7230">
              <w:rPr>
                <w:rFonts w:ascii="Arial" w:hAnsi="Arial" w:cs="Arial"/>
                <w:sz w:val="22"/>
                <w:szCs w:val="22"/>
              </w:rPr>
              <w:t xml:space="preserve"> (iii) any subcontract provides for the automatic assignment to Licensee of any and all intellectual property generated by the subcontractor, its employees, and consultants in the course of performing the subcontracted services to Licensee (other than with respect to intellectual property generated that relates to such subcontractor’s platform or background intellectual property, ownership of which may remain with such subcontractor); and (iv) Licensee shall be responsible for each of its subcontractors complying with all </w:t>
            </w:r>
            <w:r w:rsidR="00632D7A" w:rsidRPr="00DB7230">
              <w:rPr>
                <w:rFonts w:ascii="Arial" w:hAnsi="Arial" w:cs="Arial"/>
                <w:sz w:val="22"/>
                <w:szCs w:val="22"/>
              </w:rPr>
              <w:t xml:space="preserve">applicable </w:t>
            </w:r>
            <w:r w:rsidRPr="00DB7230">
              <w:rPr>
                <w:rFonts w:ascii="Arial" w:hAnsi="Arial" w:cs="Arial"/>
                <w:sz w:val="22"/>
                <w:szCs w:val="22"/>
              </w:rPr>
              <w:t xml:space="preserve">obligations of Licensee under </w:t>
            </w:r>
            <w:r w:rsidR="00347D53" w:rsidRPr="00DB7230">
              <w:rPr>
                <w:rFonts w:ascii="Arial" w:hAnsi="Arial" w:cs="Arial"/>
                <w:sz w:val="22"/>
                <w:szCs w:val="22"/>
              </w:rPr>
              <w:t xml:space="preserve">the License.  </w:t>
            </w:r>
            <w:r w:rsidR="001A29C8" w:rsidRPr="00DB7230">
              <w:rPr>
                <w:rFonts w:ascii="Arial" w:hAnsi="Arial" w:cs="Arial"/>
                <w:sz w:val="22"/>
                <w:szCs w:val="22"/>
              </w:rPr>
              <w:t>A</w:t>
            </w:r>
            <w:r w:rsidRPr="00DB7230">
              <w:rPr>
                <w:rFonts w:ascii="Arial" w:hAnsi="Arial" w:cs="Arial"/>
                <w:sz w:val="22"/>
                <w:szCs w:val="22"/>
              </w:rPr>
              <w:t xml:space="preserve"> subcontractor</w:t>
            </w:r>
            <w:r w:rsidR="00347D53" w:rsidRPr="00DB7230">
              <w:rPr>
                <w:rFonts w:ascii="Arial" w:hAnsi="Arial" w:cs="Arial"/>
                <w:sz w:val="22"/>
                <w:szCs w:val="22"/>
              </w:rPr>
              <w:t xml:space="preserve"> that</w:t>
            </w:r>
            <w:r w:rsidR="009E24EB" w:rsidRPr="00DB7230">
              <w:rPr>
                <w:rFonts w:ascii="Arial" w:hAnsi="Arial" w:cs="Arial"/>
                <w:sz w:val="22"/>
                <w:szCs w:val="22"/>
              </w:rPr>
              <w:t xml:space="preserve"> Licensee</w:t>
            </w:r>
            <w:r w:rsidR="00347D53" w:rsidRPr="00DB7230">
              <w:rPr>
                <w:rFonts w:ascii="Arial" w:hAnsi="Arial" w:cs="Arial"/>
                <w:sz w:val="22"/>
                <w:szCs w:val="22"/>
              </w:rPr>
              <w:t xml:space="preserve"> has </w:t>
            </w:r>
            <w:r w:rsidR="009E24EB" w:rsidRPr="00DB7230">
              <w:rPr>
                <w:rFonts w:ascii="Arial" w:hAnsi="Arial" w:cs="Arial"/>
                <w:sz w:val="22"/>
                <w:szCs w:val="22"/>
              </w:rPr>
              <w:t xml:space="preserve">engaged </w:t>
            </w:r>
            <w:r w:rsidR="00632D7A" w:rsidRPr="00DB7230">
              <w:rPr>
                <w:rFonts w:ascii="Arial" w:hAnsi="Arial" w:cs="Arial"/>
                <w:sz w:val="22"/>
                <w:szCs w:val="22"/>
              </w:rPr>
              <w:t>through an agreement complying with the</w:t>
            </w:r>
            <w:r w:rsidR="00347D53" w:rsidRPr="00DB7230">
              <w:rPr>
                <w:rFonts w:ascii="Arial" w:hAnsi="Arial" w:cs="Arial"/>
                <w:sz w:val="22"/>
                <w:szCs w:val="22"/>
              </w:rPr>
              <w:t xml:space="preserve"> terms above shall not be </w:t>
            </w:r>
            <w:r w:rsidR="004A1408" w:rsidRPr="00DB7230">
              <w:rPr>
                <w:rFonts w:ascii="Arial" w:hAnsi="Arial" w:cs="Arial"/>
                <w:sz w:val="22"/>
                <w:szCs w:val="22"/>
              </w:rPr>
              <w:t xml:space="preserve">deemed to be </w:t>
            </w:r>
            <w:r w:rsidR="00347D53" w:rsidRPr="00DB7230">
              <w:rPr>
                <w:rFonts w:ascii="Arial" w:hAnsi="Arial" w:cs="Arial"/>
                <w:sz w:val="22"/>
                <w:szCs w:val="22"/>
              </w:rPr>
              <w:t>a Sublicensee under the License</w:t>
            </w:r>
            <w:r w:rsidR="004A1408" w:rsidRPr="00DB7230">
              <w:rPr>
                <w:rFonts w:ascii="Arial" w:hAnsi="Arial" w:cs="Arial"/>
                <w:sz w:val="22"/>
                <w:szCs w:val="22"/>
              </w:rPr>
              <w:t>, regardless of whether such subcontract includes a grant of a sublicense under any Patent Rights or Licensed Know-How</w:t>
            </w:r>
            <w:r w:rsidR="009E24EB" w:rsidRPr="00DB7230">
              <w:rPr>
                <w:rFonts w:ascii="Arial" w:hAnsi="Arial" w:cs="Arial"/>
                <w:sz w:val="22"/>
                <w:szCs w:val="22"/>
              </w:rPr>
              <w:t>.</w:t>
            </w:r>
            <w:r w:rsidR="00347D53" w:rsidRPr="00DB7230">
              <w:rPr>
                <w:rFonts w:ascii="Arial" w:hAnsi="Arial" w:cs="Arial"/>
                <w:sz w:val="22"/>
                <w:szCs w:val="22"/>
              </w:rPr>
              <w:t xml:space="preserve"> </w:t>
            </w:r>
          </w:p>
          <w:p w14:paraId="52F7ABD1" w14:textId="6B276F42" w:rsidR="002658FE" w:rsidRPr="00DB7230" w:rsidRDefault="002658FE" w:rsidP="00347D53">
            <w:pPr>
              <w:tabs>
                <w:tab w:val="left" w:pos="-720"/>
              </w:tabs>
              <w:spacing w:before="48" w:after="48"/>
              <w:rPr>
                <w:rFonts w:ascii="Arial" w:hAnsi="Arial" w:cs="Arial"/>
                <w:sz w:val="22"/>
                <w:szCs w:val="22"/>
              </w:rPr>
            </w:pPr>
          </w:p>
        </w:tc>
      </w:tr>
      <w:tr w:rsidR="00D21497" w:rsidRPr="00DB7230" w14:paraId="240B6533" w14:textId="77777777" w:rsidTr="6C4217BD">
        <w:trPr>
          <w:trHeight w:val="249"/>
        </w:trPr>
        <w:tc>
          <w:tcPr>
            <w:tcW w:w="2047" w:type="dxa"/>
          </w:tcPr>
          <w:p w14:paraId="0000002B" w14:textId="77777777" w:rsidR="00D21497" w:rsidRPr="00DB7230" w:rsidRDefault="00D21497" w:rsidP="00D21497">
            <w:pPr>
              <w:tabs>
                <w:tab w:val="left" w:pos="-720"/>
              </w:tabs>
              <w:spacing w:before="48" w:after="48"/>
              <w:rPr>
                <w:rFonts w:ascii="Arial" w:hAnsi="Arial" w:cs="Arial"/>
                <w:b/>
                <w:sz w:val="22"/>
                <w:szCs w:val="22"/>
              </w:rPr>
            </w:pPr>
            <w:r w:rsidRPr="00DB7230">
              <w:rPr>
                <w:rFonts w:ascii="Arial" w:hAnsi="Arial" w:cs="Arial"/>
                <w:b/>
                <w:sz w:val="22"/>
                <w:szCs w:val="22"/>
              </w:rPr>
              <w:lastRenderedPageBreak/>
              <w:t>License Issue Fee</w:t>
            </w:r>
          </w:p>
        </w:tc>
        <w:tc>
          <w:tcPr>
            <w:tcW w:w="12600" w:type="dxa"/>
          </w:tcPr>
          <w:p w14:paraId="0000002C" w14:textId="77777777" w:rsidR="00D21497" w:rsidRPr="00DB7230" w:rsidRDefault="00D21497" w:rsidP="00D21497">
            <w:pPr>
              <w:tabs>
                <w:tab w:val="left" w:pos="-720"/>
              </w:tabs>
              <w:spacing w:before="48" w:after="48"/>
              <w:rPr>
                <w:rFonts w:ascii="Arial" w:hAnsi="Arial" w:cs="Arial"/>
                <w:sz w:val="22"/>
                <w:szCs w:val="22"/>
              </w:rPr>
            </w:pPr>
            <w:r w:rsidRPr="00DB7230">
              <w:rPr>
                <w:rFonts w:ascii="Arial" w:hAnsi="Arial" w:cs="Arial"/>
                <w:sz w:val="22"/>
                <w:szCs w:val="22"/>
              </w:rPr>
              <w:t>Licensee shall pay an up-front fee of $___ within [x] days of the Effective Date.</w:t>
            </w:r>
            <w:r w:rsidRPr="00DB7230">
              <w:rPr>
                <w:rFonts w:ascii="Arial" w:hAnsi="Arial" w:cs="Arial"/>
                <w:sz w:val="22"/>
                <w:szCs w:val="22"/>
                <w:vertAlign w:val="superscript"/>
              </w:rPr>
              <w:footnoteReference w:id="8"/>
            </w:r>
          </w:p>
        </w:tc>
      </w:tr>
      <w:tr w:rsidR="00D21497" w:rsidRPr="00DB7230" w14:paraId="25DEFD0D" w14:textId="77777777" w:rsidTr="6C4217BD">
        <w:trPr>
          <w:trHeight w:val="249"/>
        </w:trPr>
        <w:tc>
          <w:tcPr>
            <w:tcW w:w="2047" w:type="dxa"/>
          </w:tcPr>
          <w:p w14:paraId="0000002D" w14:textId="77777777" w:rsidR="00D21497" w:rsidRPr="00DB7230" w:rsidRDefault="00D21497" w:rsidP="00D21497">
            <w:pPr>
              <w:tabs>
                <w:tab w:val="left" w:pos="-720"/>
              </w:tabs>
              <w:spacing w:before="48" w:after="48"/>
              <w:rPr>
                <w:rFonts w:ascii="Arial" w:hAnsi="Arial" w:cs="Arial"/>
                <w:b/>
                <w:sz w:val="22"/>
                <w:szCs w:val="22"/>
              </w:rPr>
            </w:pPr>
            <w:r w:rsidRPr="00DB7230">
              <w:rPr>
                <w:rFonts w:ascii="Arial" w:hAnsi="Arial" w:cs="Arial"/>
                <w:b/>
                <w:sz w:val="22"/>
                <w:szCs w:val="22"/>
              </w:rPr>
              <w:t>[Equity]</w:t>
            </w:r>
            <w:r w:rsidRPr="00DB7230">
              <w:rPr>
                <w:rFonts w:ascii="Arial" w:hAnsi="Arial" w:cs="Arial"/>
                <w:b/>
                <w:sz w:val="22"/>
                <w:szCs w:val="22"/>
                <w:vertAlign w:val="superscript"/>
              </w:rPr>
              <w:footnoteReference w:id="9"/>
            </w:r>
            <w:r w:rsidRPr="00DB7230">
              <w:rPr>
                <w:rFonts w:ascii="Arial" w:hAnsi="Arial" w:cs="Arial"/>
                <w:b/>
                <w:sz w:val="22"/>
                <w:szCs w:val="22"/>
              </w:rPr>
              <w:t xml:space="preserve"> </w:t>
            </w:r>
          </w:p>
        </w:tc>
        <w:tc>
          <w:tcPr>
            <w:tcW w:w="12600" w:type="dxa"/>
          </w:tcPr>
          <w:p w14:paraId="0000002E" w14:textId="7799A486" w:rsidR="00D21497" w:rsidRPr="00DB7230" w:rsidRDefault="00D21497" w:rsidP="00D21497">
            <w:pPr>
              <w:tabs>
                <w:tab w:val="left" w:pos="-720"/>
              </w:tabs>
              <w:spacing w:before="48" w:after="48"/>
              <w:rPr>
                <w:rFonts w:ascii="Arial" w:hAnsi="Arial" w:cs="Arial"/>
                <w:sz w:val="22"/>
                <w:szCs w:val="22"/>
              </w:rPr>
            </w:pPr>
            <w:r w:rsidRPr="00DB7230">
              <w:rPr>
                <w:rFonts w:ascii="Arial" w:hAnsi="Arial" w:cs="Arial"/>
                <w:sz w:val="22"/>
                <w:szCs w:val="22"/>
              </w:rPr>
              <w:t>Licensee shall issue to Licensor</w:t>
            </w:r>
            <w:r w:rsidR="00923819" w:rsidRPr="00DB7230">
              <w:rPr>
                <w:rStyle w:val="FootnoteReference"/>
                <w:rFonts w:ascii="Arial" w:hAnsi="Arial" w:cs="Arial"/>
                <w:sz w:val="22"/>
                <w:szCs w:val="22"/>
              </w:rPr>
              <w:footnoteReference w:id="10"/>
            </w:r>
            <w:r w:rsidRPr="00DB7230">
              <w:rPr>
                <w:rFonts w:ascii="Arial" w:hAnsi="Arial" w:cs="Arial"/>
                <w:sz w:val="22"/>
                <w:szCs w:val="22"/>
              </w:rPr>
              <w:t xml:space="preserve"> shares of its common stock representing [x]% on a Fully Diluted Basis </w:t>
            </w:r>
            <w:r w:rsidR="007D5483" w:rsidRPr="00DB7230">
              <w:rPr>
                <w:rFonts w:ascii="Arial" w:hAnsi="Arial" w:cs="Arial"/>
                <w:sz w:val="22"/>
                <w:szCs w:val="22"/>
              </w:rPr>
              <w:t>[</w:t>
            </w:r>
            <w:r w:rsidRPr="00DB7230">
              <w:rPr>
                <w:rFonts w:ascii="Arial" w:hAnsi="Arial" w:cs="Arial"/>
                <w:sz w:val="22"/>
                <w:szCs w:val="22"/>
              </w:rPr>
              <w:t>[at the Effective Date]</w:t>
            </w:r>
            <w:r w:rsidR="007D5483" w:rsidRPr="00DB7230">
              <w:rPr>
                <w:rFonts w:ascii="Arial" w:hAnsi="Arial" w:cs="Arial"/>
                <w:sz w:val="22"/>
                <w:szCs w:val="22"/>
              </w:rPr>
              <w:t xml:space="preserve"> or</w:t>
            </w:r>
            <w:r w:rsidRPr="00DB7230">
              <w:rPr>
                <w:rFonts w:ascii="Arial" w:hAnsi="Arial" w:cs="Arial"/>
                <w:sz w:val="22"/>
                <w:szCs w:val="22"/>
              </w:rPr>
              <w:t xml:space="preserve"> [at the closing of Licensee’s next round of equity financing]</w:t>
            </w:r>
            <w:r w:rsidR="007D5483" w:rsidRPr="00DB7230">
              <w:rPr>
                <w:rFonts w:ascii="Arial" w:hAnsi="Arial" w:cs="Arial"/>
                <w:sz w:val="22"/>
                <w:szCs w:val="22"/>
              </w:rPr>
              <w:t>]</w:t>
            </w:r>
            <w:r w:rsidRPr="00DB7230">
              <w:rPr>
                <w:rFonts w:ascii="Arial" w:hAnsi="Arial" w:cs="Arial"/>
                <w:sz w:val="22"/>
                <w:szCs w:val="22"/>
              </w:rPr>
              <w:t>.</w:t>
            </w:r>
            <w:r w:rsidRPr="00DB7230">
              <w:rPr>
                <w:rFonts w:ascii="Arial" w:hAnsi="Arial" w:cs="Arial"/>
                <w:sz w:val="22"/>
                <w:szCs w:val="22"/>
                <w:vertAlign w:val="superscript"/>
              </w:rPr>
              <w:footnoteReference w:id="11"/>
            </w:r>
            <w:r w:rsidRPr="00DB7230">
              <w:rPr>
                <w:rFonts w:ascii="Arial" w:hAnsi="Arial" w:cs="Arial"/>
                <w:sz w:val="22"/>
                <w:szCs w:val="22"/>
              </w:rPr>
              <w:t xml:space="preserve"> </w:t>
            </w:r>
          </w:p>
          <w:p w14:paraId="5C49A67C" w14:textId="77777777" w:rsidR="00E85786" w:rsidRPr="00DB7230" w:rsidRDefault="00E85786" w:rsidP="00D21497">
            <w:pPr>
              <w:tabs>
                <w:tab w:val="left" w:pos="-720"/>
              </w:tabs>
              <w:spacing w:before="48" w:after="48"/>
              <w:rPr>
                <w:rFonts w:ascii="Arial" w:hAnsi="Arial" w:cs="Arial"/>
                <w:sz w:val="22"/>
                <w:szCs w:val="22"/>
              </w:rPr>
            </w:pPr>
          </w:p>
          <w:p w14:paraId="0000002F" w14:textId="5379B9B9" w:rsidR="00D21497" w:rsidRPr="00DB7230" w:rsidRDefault="00D21497" w:rsidP="00D21497">
            <w:pPr>
              <w:tabs>
                <w:tab w:val="left" w:pos="-720"/>
              </w:tabs>
              <w:spacing w:before="48" w:after="48"/>
              <w:rPr>
                <w:rFonts w:ascii="Arial" w:hAnsi="Arial" w:cs="Arial"/>
                <w:sz w:val="22"/>
                <w:szCs w:val="22"/>
              </w:rPr>
            </w:pPr>
            <w:r w:rsidRPr="00DB7230">
              <w:rPr>
                <w:rFonts w:ascii="Arial" w:hAnsi="Arial" w:cs="Arial"/>
                <w:sz w:val="22"/>
                <w:szCs w:val="22"/>
              </w:rPr>
              <w:t>“</w:t>
            </w:r>
            <w:r w:rsidRPr="00DB7230">
              <w:rPr>
                <w:rFonts w:ascii="Arial" w:hAnsi="Arial" w:cs="Arial"/>
                <w:b/>
                <w:sz w:val="22"/>
                <w:szCs w:val="22"/>
              </w:rPr>
              <w:t>Fully-Diluted Basis</w:t>
            </w:r>
            <w:r w:rsidRPr="00DB7230">
              <w:rPr>
                <w:rFonts w:ascii="Arial" w:hAnsi="Arial" w:cs="Arial"/>
                <w:sz w:val="22"/>
                <w:szCs w:val="22"/>
              </w:rPr>
              <w:t>” means the total number of shares of Licensee’s issued and outstanding common stock, assuming (a) the conversion of all issued and outstanding securities convertible into common stock; (b) the exercise of all issued and outstanding warrants or options, regardless of whether then exercisable; and (c) the issuance, grant, and exercise of all securities reserved for issuance pursuant to any Licensee stock or stock option plan then in effect.</w:t>
            </w:r>
          </w:p>
          <w:p w14:paraId="3397010F" w14:textId="29D46BA3" w:rsidR="00E85786" w:rsidRPr="00DB7230" w:rsidRDefault="00D21497" w:rsidP="00D21497">
            <w:pPr>
              <w:tabs>
                <w:tab w:val="left" w:pos="-720"/>
              </w:tabs>
              <w:spacing w:before="48" w:after="48"/>
              <w:rPr>
                <w:rFonts w:ascii="Arial" w:hAnsi="Arial" w:cs="Arial"/>
                <w:sz w:val="22"/>
                <w:szCs w:val="22"/>
              </w:rPr>
            </w:pPr>
            <w:r w:rsidRPr="00DB7230">
              <w:rPr>
                <w:rFonts w:ascii="Arial" w:hAnsi="Arial" w:cs="Arial"/>
                <w:sz w:val="22"/>
                <w:szCs w:val="22"/>
                <w:u w:val="single"/>
              </w:rPr>
              <w:t>Anti-Dilution</w:t>
            </w:r>
            <w:r w:rsidRPr="00DB7230">
              <w:rPr>
                <w:rFonts w:ascii="Arial" w:hAnsi="Arial" w:cs="Arial"/>
                <w:sz w:val="22"/>
                <w:szCs w:val="22"/>
              </w:rPr>
              <w:t>:</w:t>
            </w:r>
            <w:r w:rsidRPr="00DB7230">
              <w:rPr>
                <w:rFonts w:ascii="Arial" w:hAnsi="Arial" w:cs="Arial"/>
                <w:b/>
                <w:sz w:val="22"/>
                <w:szCs w:val="22"/>
              </w:rPr>
              <w:t xml:space="preserve"> </w:t>
            </w:r>
            <w:r w:rsidRPr="00DB7230">
              <w:rPr>
                <w:rFonts w:ascii="Arial" w:hAnsi="Arial" w:cs="Arial"/>
                <w:sz w:val="22"/>
                <w:szCs w:val="22"/>
              </w:rPr>
              <w:t xml:space="preserve">Licensee will issue Licensor, without further consideration, additional shares of common stock as is necessary to ensure that the number of shares issued to Licensor do not represent less than x% of the shares issued and outstanding on a </w:t>
            </w:r>
            <w:proofErr w:type="gramStart"/>
            <w:r w:rsidRPr="00DB7230">
              <w:rPr>
                <w:rFonts w:ascii="Arial" w:hAnsi="Arial" w:cs="Arial"/>
                <w:sz w:val="22"/>
                <w:szCs w:val="22"/>
              </w:rPr>
              <w:t>Fully-Diluted</w:t>
            </w:r>
            <w:proofErr w:type="gramEnd"/>
            <w:r w:rsidRPr="00DB7230">
              <w:rPr>
                <w:rFonts w:ascii="Arial" w:hAnsi="Arial" w:cs="Arial"/>
                <w:sz w:val="22"/>
                <w:szCs w:val="22"/>
              </w:rPr>
              <w:t xml:space="preserve"> Basis. This anti-dilution protection will continue until an amount of at least $X,000,000, when aggregated with prior closings, has been raised by Licensee in bona fide financings through the sale of securities or by conversion of instruments convertible into equity (“</w:t>
            </w:r>
            <w:r w:rsidRPr="00DB7230">
              <w:rPr>
                <w:rFonts w:ascii="Arial" w:hAnsi="Arial" w:cs="Arial"/>
                <w:b/>
                <w:sz w:val="22"/>
                <w:szCs w:val="22"/>
              </w:rPr>
              <w:t xml:space="preserve">Dilution </w:t>
            </w:r>
            <w:r w:rsidR="00905475" w:rsidRPr="00DB7230">
              <w:rPr>
                <w:rFonts w:ascii="Arial" w:hAnsi="Arial" w:cs="Arial"/>
                <w:b/>
                <w:sz w:val="22"/>
                <w:szCs w:val="22"/>
              </w:rPr>
              <w:t>Cap</w:t>
            </w:r>
            <w:r w:rsidRPr="00DB7230">
              <w:rPr>
                <w:rFonts w:ascii="Arial" w:hAnsi="Arial" w:cs="Arial"/>
                <w:sz w:val="22"/>
                <w:szCs w:val="22"/>
              </w:rPr>
              <w:t xml:space="preserve">”). If the Dilution </w:t>
            </w:r>
            <w:r w:rsidR="00905475" w:rsidRPr="00DB7230">
              <w:rPr>
                <w:rFonts w:ascii="Arial" w:hAnsi="Arial" w:cs="Arial"/>
                <w:sz w:val="22"/>
                <w:szCs w:val="22"/>
              </w:rPr>
              <w:t>Cap</w:t>
            </w:r>
            <w:r w:rsidRPr="00DB7230">
              <w:rPr>
                <w:rFonts w:ascii="Arial" w:hAnsi="Arial" w:cs="Arial"/>
                <w:sz w:val="22"/>
                <w:szCs w:val="22"/>
              </w:rPr>
              <w:t xml:space="preserve"> is reached or exceeded during a specific round of funding, anti-dilution protection [will] [will not] extend to the total amount of funding raised through the closing of that specific round of funding.</w:t>
            </w:r>
            <w:r w:rsidRPr="00DB7230">
              <w:rPr>
                <w:rFonts w:ascii="Arial" w:hAnsi="Arial" w:cs="Arial"/>
                <w:sz w:val="22"/>
                <w:szCs w:val="22"/>
                <w:vertAlign w:val="superscript"/>
              </w:rPr>
              <w:footnoteReference w:id="12"/>
            </w:r>
          </w:p>
          <w:p w14:paraId="00000031" w14:textId="553214F8" w:rsidR="00D21497" w:rsidRPr="00DB7230" w:rsidRDefault="00D21497" w:rsidP="00D21497">
            <w:pPr>
              <w:tabs>
                <w:tab w:val="left" w:pos="-720"/>
              </w:tabs>
              <w:spacing w:before="48" w:after="48"/>
              <w:rPr>
                <w:rFonts w:ascii="Arial" w:hAnsi="Arial" w:cs="Arial"/>
                <w:b/>
                <w:sz w:val="22"/>
                <w:szCs w:val="22"/>
              </w:rPr>
            </w:pPr>
            <w:r w:rsidRPr="00DB7230">
              <w:rPr>
                <w:rFonts w:ascii="Arial" w:hAnsi="Arial" w:cs="Arial"/>
                <w:sz w:val="22"/>
                <w:szCs w:val="22"/>
                <w:u w:val="single"/>
              </w:rPr>
              <w:t>Preemptive Rights</w:t>
            </w:r>
            <w:r w:rsidRPr="00DB7230">
              <w:rPr>
                <w:rFonts w:ascii="Arial" w:hAnsi="Arial" w:cs="Arial"/>
                <w:sz w:val="22"/>
                <w:szCs w:val="22"/>
              </w:rPr>
              <w:t xml:space="preserve">: If Licensee proposes to sell any equity securities or securities that are convertible into equity securities, Licensor and/or its Assignee may purchase up to </w:t>
            </w:r>
            <w:r w:rsidR="003114B4" w:rsidRPr="00DB7230">
              <w:rPr>
                <w:rFonts w:ascii="Arial" w:hAnsi="Arial" w:cs="Arial"/>
                <w:sz w:val="22"/>
                <w:szCs w:val="22"/>
              </w:rPr>
              <w:t>[</w:t>
            </w:r>
            <w:r w:rsidRPr="00DB7230">
              <w:rPr>
                <w:rFonts w:ascii="Arial" w:hAnsi="Arial" w:cs="Arial"/>
                <w:sz w:val="22"/>
                <w:szCs w:val="22"/>
              </w:rPr>
              <w:t xml:space="preserve">[their pro rata] </w:t>
            </w:r>
            <w:r w:rsidR="003114B4" w:rsidRPr="00DB7230">
              <w:rPr>
                <w:rFonts w:ascii="Arial" w:hAnsi="Arial" w:cs="Arial"/>
                <w:sz w:val="22"/>
                <w:szCs w:val="22"/>
              </w:rPr>
              <w:t xml:space="preserve">or </w:t>
            </w:r>
            <w:r w:rsidRPr="00DB7230">
              <w:rPr>
                <w:rFonts w:ascii="Arial" w:hAnsi="Arial" w:cs="Arial"/>
                <w:sz w:val="22"/>
                <w:szCs w:val="22"/>
              </w:rPr>
              <w:t>[x%]</w:t>
            </w:r>
            <w:r w:rsidR="003114B4" w:rsidRPr="00DB7230">
              <w:rPr>
                <w:rFonts w:ascii="Arial" w:hAnsi="Arial" w:cs="Arial"/>
                <w:sz w:val="22"/>
                <w:szCs w:val="22"/>
              </w:rPr>
              <w:t>]</w:t>
            </w:r>
            <w:r w:rsidRPr="00DB7230">
              <w:rPr>
                <w:rFonts w:ascii="Arial" w:hAnsi="Arial" w:cs="Arial"/>
                <w:sz w:val="22"/>
                <w:szCs w:val="22"/>
                <w:vertAlign w:val="superscript"/>
              </w:rPr>
              <w:footnoteReference w:id="13"/>
            </w:r>
            <w:r w:rsidRPr="00DB7230">
              <w:rPr>
                <w:rFonts w:ascii="Arial" w:hAnsi="Arial" w:cs="Arial"/>
                <w:sz w:val="22"/>
                <w:szCs w:val="22"/>
              </w:rPr>
              <w:t xml:space="preserve"> of the securities issued in each financing on</w:t>
            </w:r>
            <w:r w:rsidR="00A237D0" w:rsidRPr="00DB7230">
              <w:rPr>
                <w:rFonts w:ascii="Arial" w:hAnsi="Arial" w:cs="Arial"/>
                <w:sz w:val="22"/>
                <w:szCs w:val="22"/>
              </w:rPr>
              <w:t xml:space="preserve"> </w:t>
            </w:r>
            <w:r w:rsidRPr="00DB7230">
              <w:rPr>
                <w:rFonts w:ascii="Arial" w:hAnsi="Arial" w:cs="Arial"/>
                <w:sz w:val="22"/>
                <w:szCs w:val="22"/>
              </w:rPr>
              <w:t xml:space="preserve">the same terms and conditions as are offered to the other purchasers in each such financing. </w:t>
            </w:r>
            <w:proofErr w:type="gramStart"/>
            <w:r w:rsidRPr="00DB7230">
              <w:rPr>
                <w:rFonts w:ascii="Arial" w:hAnsi="Arial" w:cs="Arial"/>
                <w:sz w:val="22"/>
                <w:szCs w:val="22"/>
              </w:rPr>
              <w:t>Licensee</w:t>
            </w:r>
            <w:proofErr w:type="gramEnd"/>
            <w:r w:rsidRPr="00DB7230">
              <w:rPr>
                <w:rFonts w:ascii="Arial" w:hAnsi="Arial" w:cs="Arial"/>
                <w:sz w:val="22"/>
                <w:szCs w:val="22"/>
              </w:rPr>
              <w:t xml:space="preserve"> </w:t>
            </w:r>
            <w:r w:rsidR="00AE7FD5" w:rsidRPr="00DB7230">
              <w:rPr>
                <w:rFonts w:ascii="Arial" w:hAnsi="Arial" w:cs="Arial"/>
                <w:sz w:val="22"/>
                <w:szCs w:val="22"/>
              </w:rPr>
              <w:t>will</w:t>
            </w:r>
            <w:r w:rsidRPr="00DB7230">
              <w:rPr>
                <w:rFonts w:ascii="Arial" w:hAnsi="Arial" w:cs="Arial"/>
                <w:sz w:val="22"/>
                <w:szCs w:val="22"/>
              </w:rPr>
              <w:t xml:space="preserve"> provide [x] days </w:t>
            </w:r>
            <w:r w:rsidRPr="00DB7230">
              <w:rPr>
                <w:rFonts w:ascii="Arial" w:hAnsi="Arial" w:cs="Arial"/>
                <w:sz w:val="22"/>
                <w:szCs w:val="22"/>
              </w:rPr>
              <w:lastRenderedPageBreak/>
              <w:t>advance written notice of each such financing, including reasonable detail regarding the terms and purchasers in the financing. “</w:t>
            </w:r>
            <w:r w:rsidRPr="00DB7230">
              <w:rPr>
                <w:rFonts w:ascii="Arial" w:hAnsi="Arial" w:cs="Arial"/>
                <w:b/>
                <w:sz w:val="22"/>
                <w:szCs w:val="22"/>
              </w:rPr>
              <w:t>Assignee</w:t>
            </w:r>
            <w:r w:rsidRPr="00DB7230">
              <w:rPr>
                <w:rFonts w:ascii="Arial" w:hAnsi="Arial" w:cs="Arial"/>
                <w:sz w:val="22"/>
                <w:szCs w:val="22"/>
              </w:rPr>
              <w:t xml:space="preserve">” means </w:t>
            </w:r>
            <w:r w:rsidR="006708C0" w:rsidRPr="00DB7230">
              <w:rPr>
                <w:rFonts w:ascii="Arial" w:hAnsi="Arial" w:cs="Arial"/>
                <w:sz w:val="22"/>
                <w:szCs w:val="22"/>
              </w:rPr>
              <w:t xml:space="preserve">(a) [insert name of entity to which Licensor’s preemptive rights may be assigned] or </w:t>
            </w:r>
            <w:r w:rsidRPr="00DB7230">
              <w:rPr>
                <w:rFonts w:ascii="Arial" w:hAnsi="Arial" w:cs="Arial"/>
                <w:sz w:val="22"/>
                <w:szCs w:val="22"/>
              </w:rPr>
              <w:t xml:space="preserve">(b) any entity that is controlled by Licensor. </w:t>
            </w:r>
          </w:p>
        </w:tc>
      </w:tr>
      <w:tr w:rsidR="00D21497" w:rsidRPr="00DB7230" w14:paraId="2C4DF2D1" w14:textId="77777777" w:rsidTr="6C4217BD">
        <w:trPr>
          <w:trHeight w:val="249"/>
        </w:trPr>
        <w:tc>
          <w:tcPr>
            <w:tcW w:w="2047" w:type="dxa"/>
          </w:tcPr>
          <w:p w14:paraId="00000034" w14:textId="3175DB09" w:rsidR="00D21497" w:rsidRPr="00DB7230" w:rsidRDefault="00D21497" w:rsidP="00D21497">
            <w:pPr>
              <w:tabs>
                <w:tab w:val="left" w:pos="-720"/>
              </w:tabs>
              <w:spacing w:before="48" w:after="48"/>
              <w:rPr>
                <w:rFonts w:ascii="Arial" w:hAnsi="Arial" w:cs="Arial"/>
                <w:b/>
                <w:sz w:val="22"/>
                <w:szCs w:val="22"/>
              </w:rPr>
            </w:pPr>
            <w:r w:rsidRPr="00DB7230">
              <w:rPr>
                <w:rFonts w:ascii="Arial" w:hAnsi="Arial" w:cs="Arial"/>
                <w:b/>
                <w:sz w:val="22"/>
                <w:szCs w:val="22"/>
              </w:rPr>
              <w:lastRenderedPageBreak/>
              <w:t>Development Milestone Payments</w:t>
            </w:r>
            <w:r w:rsidRPr="00DB7230">
              <w:rPr>
                <w:rStyle w:val="FootnoteReference"/>
                <w:rFonts w:ascii="Arial" w:hAnsi="Arial" w:cs="Arial"/>
                <w:b/>
                <w:sz w:val="22"/>
                <w:szCs w:val="22"/>
              </w:rPr>
              <w:footnoteReference w:id="14"/>
            </w:r>
            <w:r w:rsidRPr="00DB7230">
              <w:rPr>
                <w:rFonts w:ascii="Arial" w:hAnsi="Arial" w:cs="Arial"/>
                <w:b/>
                <w:sz w:val="22"/>
                <w:szCs w:val="22"/>
              </w:rPr>
              <w:t xml:space="preserve"> </w:t>
            </w:r>
          </w:p>
        </w:tc>
        <w:tc>
          <w:tcPr>
            <w:tcW w:w="12600" w:type="dxa"/>
          </w:tcPr>
          <w:p w14:paraId="00000035" w14:textId="340874CC" w:rsidR="00D21497" w:rsidRPr="00DB7230" w:rsidRDefault="00D21497" w:rsidP="00D21497">
            <w:pPr>
              <w:rPr>
                <w:rFonts w:ascii="Arial" w:hAnsi="Arial" w:cs="Arial"/>
                <w:sz w:val="22"/>
                <w:szCs w:val="22"/>
              </w:rPr>
            </w:pPr>
            <w:r w:rsidRPr="00DB7230">
              <w:rPr>
                <w:rFonts w:ascii="Arial" w:hAnsi="Arial" w:cs="Arial"/>
                <w:color w:val="000000"/>
                <w:sz w:val="22"/>
                <w:szCs w:val="22"/>
              </w:rPr>
              <w:t>Each of the following payments (each a “</w:t>
            </w:r>
            <w:r w:rsidRPr="00DB7230">
              <w:rPr>
                <w:rFonts w:ascii="Arial" w:hAnsi="Arial" w:cs="Arial"/>
                <w:b/>
                <w:color w:val="000000"/>
                <w:sz w:val="22"/>
                <w:szCs w:val="22"/>
              </w:rPr>
              <w:t>Development Milestone Payment</w:t>
            </w:r>
            <w:r w:rsidRPr="00DB7230">
              <w:rPr>
                <w:rFonts w:ascii="Arial" w:hAnsi="Arial" w:cs="Arial"/>
                <w:color w:val="000000"/>
                <w:sz w:val="22"/>
                <w:szCs w:val="22"/>
              </w:rPr>
              <w:t xml:space="preserve">”) </w:t>
            </w:r>
            <w:r w:rsidR="00AE7FD5" w:rsidRPr="00DB7230">
              <w:rPr>
                <w:rFonts w:ascii="Arial" w:hAnsi="Arial" w:cs="Arial"/>
                <w:color w:val="000000"/>
                <w:sz w:val="22"/>
                <w:szCs w:val="22"/>
              </w:rPr>
              <w:t>will</w:t>
            </w:r>
            <w:r w:rsidRPr="00DB7230">
              <w:rPr>
                <w:rFonts w:ascii="Arial" w:hAnsi="Arial" w:cs="Arial"/>
                <w:color w:val="000000"/>
                <w:sz w:val="22"/>
                <w:szCs w:val="22"/>
              </w:rPr>
              <w:t xml:space="preserve"> be due upon achieving the indicated milestone </w:t>
            </w:r>
            <w:r w:rsidR="00A0362C" w:rsidRPr="00DB7230">
              <w:rPr>
                <w:rFonts w:ascii="Arial" w:hAnsi="Arial" w:cs="Arial"/>
                <w:color w:val="000000"/>
                <w:sz w:val="22"/>
                <w:szCs w:val="22"/>
              </w:rPr>
              <w:t>(each such milestone, a “</w:t>
            </w:r>
            <w:r w:rsidR="00A0362C" w:rsidRPr="00DB7230">
              <w:rPr>
                <w:rFonts w:ascii="Arial" w:hAnsi="Arial" w:cs="Arial"/>
                <w:b/>
                <w:bCs/>
                <w:color w:val="000000"/>
                <w:sz w:val="22"/>
                <w:szCs w:val="22"/>
              </w:rPr>
              <w:t>Development Milestone</w:t>
            </w:r>
            <w:r w:rsidR="00A0362C" w:rsidRPr="00DB7230">
              <w:rPr>
                <w:rFonts w:ascii="Arial" w:hAnsi="Arial" w:cs="Arial"/>
                <w:color w:val="000000"/>
                <w:sz w:val="22"/>
                <w:szCs w:val="22"/>
              </w:rPr>
              <w:t xml:space="preserve">” </w:t>
            </w:r>
            <w:r w:rsidRPr="00DB7230">
              <w:rPr>
                <w:rFonts w:ascii="Arial" w:hAnsi="Arial" w:cs="Arial"/>
                <w:color w:val="000000"/>
                <w:sz w:val="22"/>
                <w:szCs w:val="22"/>
              </w:rPr>
              <w:t>for [each Licensed Product] [the first Licensed Product] [the first [2][3] Licensed Products].</w:t>
            </w:r>
            <w:r w:rsidRPr="00DB7230">
              <w:rPr>
                <w:rFonts w:ascii="Arial" w:hAnsi="Arial" w:cs="Arial"/>
                <w:color w:val="000000"/>
                <w:sz w:val="22"/>
                <w:szCs w:val="22"/>
                <w:vertAlign w:val="superscript"/>
              </w:rPr>
              <w:footnoteReference w:id="15"/>
            </w:r>
            <w:r w:rsidRPr="00DB7230">
              <w:rPr>
                <w:rFonts w:ascii="Arial" w:hAnsi="Arial" w:cs="Arial"/>
                <w:sz w:val="22"/>
                <w:szCs w:val="22"/>
              </w:rPr>
              <w:t xml:space="preserve">  </w:t>
            </w:r>
            <w:r w:rsidRPr="00DB7230">
              <w:rPr>
                <w:rFonts w:ascii="Arial" w:hAnsi="Arial" w:cs="Arial"/>
                <w:color w:val="000000"/>
                <w:sz w:val="22"/>
                <w:szCs w:val="22"/>
              </w:rPr>
              <w:t xml:space="preserve">Licensee shall make each such payment irrespective of whether the associated </w:t>
            </w:r>
            <w:r w:rsidR="00A0362C" w:rsidRPr="00DB7230">
              <w:rPr>
                <w:rFonts w:ascii="Arial" w:hAnsi="Arial" w:cs="Arial"/>
                <w:color w:val="000000"/>
                <w:sz w:val="22"/>
                <w:szCs w:val="22"/>
              </w:rPr>
              <w:t>Development M</w:t>
            </w:r>
            <w:r w:rsidRPr="00DB7230">
              <w:rPr>
                <w:rFonts w:ascii="Arial" w:hAnsi="Arial" w:cs="Arial"/>
                <w:color w:val="000000"/>
                <w:sz w:val="22"/>
                <w:szCs w:val="22"/>
              </w:rPr>
              <w:t>ilestone was reached by Licensee itself, by a Sublicensee and/or by a third party acting on behalf of Licensee or a Sublicensee.  </w:t>
            </w:r>
          </w:p>
          <w:p w14:paraId="00000036" w14:textId="43757BB8" w:rsidR="00D21497" w:rsidRPr="00DB7230" w:rsidRDefault="006E0573" w:rsidP="00D21497">
            <w:pPr>
              <w:rPr>
                <w:rFonts w:ascii="Arial" w:hAnsi="Arial" w:cs="Arial"/>
                <w:color w:val="000000"/>
                <w:sz w:val="22"/>
                <w:szCs w:val="22"/>
              </w:rPr>
            </w:pPr>
            <w:r w:rsidRPr="00DB7230">
              <w:rPr>
                <w:rFonts w:ascii="Arial" w:hAnsi="Arial" w:cs="Arial"/>
                <w:i/>
                <w:iCs/>
                <w:color w:val="000000"/>
                <w:sz w:val="22"/>
                <w:szCs w:val="22"/>
              </w:rPr>
              <w:t>[</w:t>
            </w:r>
            <w:r w:rsidR="00D21497" w:rsidRPr="00DB7230">
              <w:rPr>
                <w:rFonts w:ascii="Arial" w:hAnsi="Arial" w:cs="Arial"/>
                <w:i/>
                <w:iCs/>
                <w:color w:val="000000"/>
                <w:sz w:val="22"/>
                <w:szCs w:val="22"/>
              </w:rPr>
              <w:t xml:space="preserve">Examples of typical </w:t>
            </w:r>
            <w:r w:rsidR="00707693" w:rsidRPr="00DB7230">
              <w:rPr>
                <w:rFonts w:ascii="Arial" w:hAnsi="Arial" w:cs="Arial"/>
                <w:i/>
                <w:iCs/>
                <w:color w:val="000000"/>
                <w:sz w:val="22"/>
                <w:szCs w:val="22"/>
              </w:rPr>
              <w:t>Development Milestones</w:t>
            </w:r>
            <w:r w:rsidRPr="00DB7230">
              <w:rPr>
                <w:rFonts w:ascii="Arial" w:hAnsi="Arial" w:cs="Arial"/>
                <w:i/>
                <w:iCs/>
                <w:color w:val="000000"/>
                <w:sz w:val="22"/>
                <w:szCs w:val="22"/>
              </w:rPr>
              <w:t>]</w:t>
            </w:r>
            <w:r w:rsidR="00D21497" w:rsidRPr="00DB7230">
              <w:rPr>
                <w:rFonts w:ascii="Arial" w:hAnsi="Arial" w:cs="Arial"/>
                <w:color w:val="000000"/>
                <w:sz w:val="22"/>
                <w:szCs w:val="22"/>
                <w:vertAlign w:val="superscript"/>
              </w:rPr>
              <w:footnoteReference w:id="16"/>
            </w:r>
            <w:r w:rsidR="00D21497" w:rsidRPr="00DB7230">
              <w:rPr>
                <w:rFonts w:ascii="Arial" w:hAnsi="Arial" w:cs="Arial"/>
                <w:color w:val="000000"/>
                <w:sz w:val="22"/>
                <w:szCs w:val="22"/>
              </w:rPr>
              <w:t>:</w:t>
            </w:r>
          </w:p>
          <w:p w14:paraId="00000037" w14:textId="77777777" w:rsidR="00D21497" w:rsidRPr="00DB7230" w:rsidRDefault="00D21497" w:rsidP="00D21497">
            <w:pPr>
              <w:numPr>
                <w:ilvl w:val="0"/>
                <w:numId w:val="1"/>
              </w:numPr>
              <w:pBdr>
                <w:top w:val="nil"/>
                <w:left w:val="nil"/>
                <w:bottom w:val="nil"/>
                <w:right w:val="nil"/>
                <w:between w:val="nil"/>
              </w:pBdr>
              <w:rPr>
                <w:rFonts w:ascii="Arial" w:hAnsi="Arial" w:cs="Arial"/>
                <w:color w:val="000000"/>
                <w:sz w:val="22"/>
                <w:szCs w:val="22"/>
              </w:rPr>
            </w:pPr>
            <w:r w:rsidRPr="00DB7230">
              <w:rPr>
                <w:rFonts w:ascii="Arial" w:hAnsi="Arial" w:cs="Arial"/>
                <w:color w:val="000000"/>
                <w:sz w:val="22"/>
                <w:szCs w:val="22"/>
              </w:rPr>
              <w:t>[First/third/fifth]</w:t>
            </w:r>
            <w:r w:rsidRPr="00DB7230">
              <w:rPr>
                <w:rFonts w:ascii="Arial" w:hAnsi="Arial" w:cs="Arial"/>
                <w:color w:val="000000"/>
                <w:sz w:val="22"/>
                <w:szCs w:val="22"/>
                <w:vertAlign w:val="superscript"/>
              </w:rPr>
              <w:footnoteReference w:id="17"/>
            </w:r>
            <w:r w:rsidRPr="00DB7230">
              <w:rPr>
                <w:rFonts w:ascii="Arial" w:hAnsi="Arial" w:cs="Arial"/>
                <w:color w:val="000000"/>
                <w:sz w:val="22"/>
                <w:szCs w:val="22"/>
              </w:rPr>
              <w:t xml:space="preserve"> subject dosed in Phase [1/2/3] clinical trial: [$____] </w:t>
            </w:r>
          </w:p>
          <w:p w14:paraId="00000038" w14:textId="77777777" w:rsidR="00D21497" w:rsidRPr="00DB7230" w:rsidRDefault="00D21497" w:rsidP="00D21497">
            <w:pPr>
              <w:numPr>
                <w:ilvl w:val="0"/>
                <w:numId w:val="1"/>
              </w:numPr>
              <w:pBdr>
                <w:top w:val="nil"/>
                <w:left w:val="nil"/>
                <w:bottom w:val="nil"/>
                <w:right w:val="nil"/>
                <w:between w:val="nil"/>
              </w:pBdr>
              <w:rPr>
                <w:rFonts w:ascii="Arial" w:hAnsi="Arial" w:cs="Arial"/>
                <w:color w:val="000000"/>
                <w:sz w:val="22"/>
                <w:szCs w:val="22"/>
              </w:rPr>
            </w:pPr>
            <w:r w:rsidRPr="00DB7230">
              <w:rPr>
                <w:rFonts w:ascii="Arial" w:hAnsi="Arial" w:cs="Arial"/>
                <w:color w:val="000000"/>
                <w:sz w:val="22"/>
                <w:szCs w:val="22"/>
              </w:rPr>
              <w:t xml:space="preserve">Submission of the first IND for a Licensed Product: [$____]  </w:t>
            </w:r>
          </w:p>
          <w:p w14:paraId="00000039" w14:textId="77777777" w:rsidR="00D21497" w:rsidRPr="00DB7230" w:rsidRDefault="00D21497" w:rsidP="00D21497">
            <w:pPr>
              <w:numPr>
                <w:ilvl w:val="0"/>
                <w:numId w:val="1"/>
              </w:numPr>
              <w:pBdr>
                <w:top w:val="nil"/>
                <w:left w:val="nil"/>
                <w:bottom w:val="nil"/>
                <w:right w:val="nil"/>
                <w:between w:val="nil"/>
              </w:pBdr>
              <w:rPr>
                <w:rFonts w:ascii="Arial" w:hAnsi="Arial" w:cs="Arial"/>
                <w:sz w:val="22"/>
                <w:szCs w:val="22"/>
              </w:rPr>
            </w:pPr>
            <w:r w:rsidRPr="00DB7230">
              <w:rPr>
                <w:rFonts w:ascii="Arial" w:hAnsi="Arial" w:cs="Arial"/>
                <w:color w:val="000000"/>
                <w:sz w:val="22"/>
                <w:szCs w:val="22"/>
              </w:rPr>
              <w:t>FDA approval of a Licensed Product: [$____]</w:t>
            </w:r>
          </w:p>
          <w:p w14:paraId="0000003A" w14:textId="77777777" w:rsidR="00D21497" w:rsidRPr="00DB7230" w:rsidRDefault="00D21497" w:rsidP="00D21497">
            <w:pPr>
              <w:numPr>
                <w:ilvl w:val="0"/>
                <w:numId w:val="1"/>
              </w:numPr>
              <w:pBdr>
                <w:top w:val="nil"/>
                <w:left w:val="nil"/>
                <w:bottom w:val="nil"/>
                <w:right w:val="nil"/>
                <w:between w:val="nil"/>
              </w:pBdr>
              <w:rPr>
                <w:rFonts w:ascii="Arial" w:hAnsi="Arial" w:cs="Arial"/>
                <w:sz w:val="22"/>
                <w:szCs w:val="22"/>
              </w:rPr>
            </w:pPr>
            <w:r w:rsidRPr="00DB7230">
              <w:rPr>
                <w:rFonts w:ascii="Arial" w:hAnsi="Arial" w:cs="Arial"/>
                <w:bCs/>
                <w:iCs/>
                <w:color w:val="000000"/>
                <w:sz w:val="22"/>
                <w:szCs w:val="22"/>
              </w:rPr>
              <w:t>First Commercial Sale</w:t>
            </w:r>
            <w:r w:rsidRPr="00DB7230">
              <w:rPr>
                <w:rFonts w:ascii="Arial" w:hAnsi="Arial" w:cs="Arial"/>
                <w:color w:val="000000"/>
                <w:sz w:val="22"/>
                <w:szCs w:val="22"/>
              </w:rPr>
              <w:t xml:space="preserve"> of a Licensed Product: [$____]</w:t>
            </w:r>
          </w:p>
        </w:tc>
      </w:tr>
      <w:tr w:rsidR="00D21497" w:rsidRPr="00DB7230" w14:paraId="4569038F" w14:textId="77777777" w:rsidTr="6C4217BD">
        <w:trPr>
          <w:trHeight w:val="249"/>
        </w:trPr>
        <w:tc>
          <w:tcPr>
            <w:tcW w:w="2047" w:type="dxa"/>
          </w:tcPr>
          <w:p w14:paraId="0000003B" w14:textId="331EAF84" w:rsidR="00D21497" w:rsidRPr="00DB7230" w:rsidRDefault="00D21497" w:rsidP="00D21497">
            <w:pPr>
              <w:tabs>
                <w:tab w:val="left" w:pos="-720"/>
              </w:tabs>
              <w:spacing w:before="48" w:after="48"/>
              <w:rPr>
                <w:rFonts w:ascii="Arial" w:hAnsi="Arial" w:cs="Arial"/>
                <w:b/>
                <w:sz w:val="22"/>
                <w:szCs w:val="22"/>
              </w:rPr>
            </w:pPr>
            <w:r w:rsidRPr="00DB7230">
              <w:rPr>
                <w:rFonts w:ascii="Arial" w:hAnsi="Arial" w:cs="Arial"/>
                <w:b/>
                <w:sz w:val="22"/>
                <w:szCs w:val="22"/>
              </w:rPr>
              <w:t>Royalty Rate</w:t>
            </w:r>
            <w:r w:rsidR="006708C0" w:rsidRPr="00DB7230">
              <w:rPr>
                <w:rStyle w:val="FootnoteReference"/>
                <w:rFonts w:ascii="Arial" w:hAnsi="Arial" w:cs="Arial"/>
                <w:b/>
                <w:sz w:val="22"/>
                <w:szCs w:val="22"/>
              </w:rPr>
              <w:footnoteReference w:id="18"/>
            </w:r>
          </w:p>
        </w:tc>
        <w:tc>
          <w:tcPr>
            <w:tcW w:w="12600" w:type="dxa"/>
          </w:tcPr>
          <w:p w14:paraId="0000003C" w14:textId="0F1DFC0E" w:rsidR="00D21497" w:rsidRPr="00DB7230" w:rsidRDefault="00D21497" w:rsidP="00D21497">
            <w:pPr>
              <w:tabs>
                <w:tab w:val="left" w:pos="-720"/>
              </w:tabs>
              <w:spacing w:before="48" w:after="48"/>
              <w:rPr>
                <w:rFonts w:ascii="Arial" w:hAnsi="Arial" w:cs="Arial"/>
                <w:bCs/>
                <w:iCs/>
                <w:sz w:val="22"/>
                <w:szCs w:val="22"/>
              </w:rPr>
            </w:pPr>
            <w:r w:rsidRPr="00DB7230">
              <w:rPr>
                <w:rFonts w:ascii="Arial" w:hAnsi="Arial" w:cs="Arial"/>
                <w:sz w:val="22"/>
                <w:szCs w:val="22"/>
              </w:rPr>
              <w:t xml:space="preserve">For </w:t>
            </w:r>
            <w:r w:rsidRPr="00DB7230">
              <w:rPr>
                <w:rFonts w:ascii="Arial" w:hAnsi="Arial" w:cs="Arial"/>
                <w:bCs/>
                <w:iCs/>
                <w:sz w:val="22"/>
                <w:szCs w:val="22"/>
              </w:rPr>
              <w:t>Patent Products, Licensee shall pay Licensor x% of Net Sales, with [</w:t>
            </w:r>
            <w:proofErr w:type="gramStart"/>
            <w:r w:rsidRPr="00DB7230">
              <w:rPr>
                <w:rFonts w:ascii="Arial" w:hAnsi="Arial" w:cs="Arial"/>
                <w:bCs/>
                <w:iCs/>
                <w:sz w:val="22"/>
                <w:szCs w:val="22"/>
              </w:rPr>
              <w:t>50]%</w:t>
            </w:r>
            <w:proofErr w:type="gramEnd"/>
            <w:r w:rsidRPr="00DB7230">
              <w:rPr>
                <w:rFonts w:ascii="Arial" w:hAnsi="Arial" w:cs="Arial"/>
                <w:bCs/>
                <w:iCs/>
                <w:sz w:val="22"/>
                <w:szCs w:val="22"/>
              </w:rPr>
              <w:t xml:space="preserve"> reduction for Patent Products that are no longer Covered by a Valid Claim [and are no longer under regulatory exclusivity], but are Covered by Licensed Know-How. </w:t>
            </w:r>
          </w:p>
          <w:p w14:paraId="0000003D" w14:textId="64E6C477" w:rsidR="00D21497" w:rsidRPr="00DB7230" w:rsidRDefault="00D21497" w:rsidP="00D21497">
            <w:pPr>
              <w:tabs>
                <w:tab w:val="left" w:pos="-720"/>
              </w:tabs>
              <w:spacing w:before="48" w:after="48"/>
              <w:rPr>
                <w:rFonts w:ascii="Arial" w:hAnsi="Arial" w:cs="Arial"/>
                <w:sz w:val="22"/>
                <w:szCs w:val="22"/>
              </w:rPr>
            </w:pPr>
            <w:r w:rsidRPr="00DB7230">
              <w:rPr>
                <w:rFonts w:ascii="Arial" w:hAnsi="Arial" w:cs="Arial"/>
                <w:bCs/>
                <w:iCs/>
                <w:sz w:val="22"/>
                <w:szCs w:val="22"/>
              </w:rPr>
              <w:t>For Know-How Products,</w:t>
            </w:r>
            <w:r w:rsidRPr="00DB7230">
              <w:rPr>
                <w:rFonts w:ascii="Arial" w:hAnsi="Arial" w:cs="Arial"/>
                <w:sz w:val="22"/>
                <w:szCs w:val="22"/>
              </w:rPr>
              <w:t xml:space="preserve"> Licensee shall pay Licensor [½]x% of Net Sales. </w:t>
            </w:r>
          </w:p>
        </w:tc>
      </w:tr>
      <w:tr w:rsidR="00D21497" w:rsidRPr="00DB7230" w14:paraId="4957A728" w14:textId="77777777" w:rsidTr="6C4217BD">
        <w:trPr>
          <w:trHeight w:val="249"/>
        </w:trPr>
        <w:tc>
          <w:tcPr>
            <w:tcW w:w="2047" w:type="dxa"/>
          </w:tcPr>
          <w:p w14:paraId="0000003E" w14:textId="0D1811DF" w:rsidR="00D21497" w:rsidRPr="00DB7230" w:rsidRDefault="00D21497" w:rsidP="00D21497">
            <w:pPr>
              <w:tabs>
                <w:tab w:val="left" w:pos="-720"/>
              </w:tabs>
              <w:spacing w:before="48" w:after="48"/>
              <w:rPr>
                <w:rFonts w:ascii="Arial" w:hAnsi="Arial" w:cs="Arial"/>
                <w:b/>
                <w:sz w:val="22"/>
                <w:szCs w:val="22"/>
              </w:rPr>
            </w:pPr>
            <w:r w:rsidRPr="00DB7230">
              <w:rPr>
                <w:rFonts w:ascii="Arial" w:hAnsi="Arial" w:cs="Arial"/>
                <w:b/>
                <w:sz w:val="22"/>
                <w:szCs w:val="22"/>
              </w:rPr>
              <w:t>Net Sales</w:t>
            </w:r>
          </w:p>
        </w:tc>
        <w:tc>
          <w:tcPr>
            <w:tcW w:w="12600" w:type="dxa"/>
          </w:tcPr>
          <w:p w14:paraId="0000003F" w14:textId="4276739B" w:rsidR="00D21497" w:rsidRPr="00DB7230" w:rsidRDefault="00D21497" w:rsidP="00F04CF4">
            <w:pPr>
              <w:pStyle w:val="Heading2"/>
              <w:numPr>
                <w:ilvl w:val="0"/>
                <w:numId w:val="0"/>
              </w:numPr>
              <w:spacing w:before="0"/>
              <w:rPr>
                <w:rFonts w:ascii="Arial" w:hAnsi="Arial"/>
                <w:sz w:val="22"/>
                <w:szCs w:val="22"/>
              </w:rPr>
            </w:pPr>
            <w:r w:rsidRPr="00DB7230">
              <w:rPr>
                <w:rFonts w:ascii="Arial" w:hAnsi="Arial"/>
                <w:sz w:val="22"/>
                <w:szCs w:val="22"/>
              </w:rPr>
              <w:t xml:space="preserve">means, with respect to a Licensed Product, for any period, the total amount billed or invoiced on sales of such Licensed Product during such period by the Selling Party in the Territory to third parties (including third party wholesalers and Third Party Distributors), in bona fide arm’s length transactions, less the following </w:t>
            </w:r>
            <w:r w:rsidR="00F31397" w:rsidRPr="00DB7230">
              <w:rPr>
                <w:rFonts w:ascii="Arial" w:hAnsi="Arial"/>
                <w:sz w:val="22"/>
                <w:szCs w:val="22"/>
              </w:rPr>
              <w:t xml:space="preserve">documented </w:t>
            </w:r>
            <w:r w:rsidRPr="00DB7230">
              <w:rPr>
                <w:rFonts w:ascii="Arial" w:hAnsi="Arial"/>
                <w:sz w:val="22"/>
                <w:szCs w:val="22"/>
              </w:rPr>
              <w:t>deductions</w:t>
            </w:r>
            <w:r w:rsidRPr="00DB7230">
              <w:rPr>
                <w:rFonts w:ascii="Arial" w:hAnsi="Arial"/>
                <w:sz w:val="22"/>
                <w:szCs w:val="22"/>
                <w:vertAlign w:val="superscript"/>
              </w:rPr>
              <w:footnoteReference w:id="19"/>
            </w:r>
            <w:r w:rsidRPr="00DB7230">
              <w:rPr>
                <w:rFonts w:ascii="Arial" w:hAnsi="Arial"/>
                <w:sz w:val="22"/>
                <w:szCs w:val="22"/>
              </w:rPr>
              <w:t>, and in each case related specifically (or reasonably allocated by such Selling Party in accordance with its standard policies and procedures consistently applied across its products) to the Licensed Product</w:t>
            </w:r>
            <w:r w:rsidR="00CD0CD5" w:rsidRPr="00DB7230">
              <w:rPr>
                <w:rFonts w:ascii="Arial" w:hAnsi="Arial"/>
                <w:sz w:val="22"/>
                <w:szCs w:val="22"/>
              </w:rPr>
              <w:t xml:space="preserve">, </w:t>
            </w:r>
            <w:r w:rsidRPr="00DB7230">
              <w:rPr>
                <w:rFonts w:ascii="Arial" w:hAnsi="Arial"/>
                <w:sz w:val="22"/>
                <w:szCs w:val="22"/>
              </w:rPr>
              <w:t>and not otherwise recovered by or reimbursed to the Selling Party:</w:t>
            </w:r>
          </w:p>
          <w:p w14:paraId="00000040" w14:textId="77777777" w:rsidR="00D21497" w:rsidRPr="00DB7230" w:rsidRDefault="00D21497" w:rsidP="0035689D">
            <w:pPr>
              <w:numPr>
                <w:ilvl w:val="0"/>
                <w:numId w:val="5"/>
              </w:numPr>
              <w:pBdr>
                <w:top w:val="nil"/>
                <w:left w:val="nil"/>
                <w:bottom w:val="nil"/>
                <w:right w:val="nil"/>
                <w:between w:val="nil"/>
              </w:pBdr>
              <w:rPr>
                <w:rFonts w:ascii="Arial" w:hAnsi="Arial" w:cs="Arial"/>
                <w:color w:val="000000"/>
                <w:sz w:val="22"/>
                <w:szCs w:val="22"/>
              </w:rPr>
            </w:pPr>
            <w:r w:rsidRPr="00DB7230">
              <w:rPr>
                <w:rFonts w:ascii="Arial" w:hAnsi="Arial" w:cs="Arial"/>
                <w:color w:val="000000"/>
                <w:sz w:val="22"/>
                <w:szCs w:val="22"/>
              </w:rPr>
              <w:t xml:space="preserve">trade, cash and quantity discounts, charge-back payments, and rebates actually granted to trade customers, managed health care organizations, pharmaceutical benefit managers, group purchasing organizations, and national, state, or local </w:t>
            </w:r>
            <w:proofErr w:type="gramStart"/>
            <w:r w:rsidRPr="00DB7230">
              <w:rPr>
                <w:rFonts w:ascii="Arial" w:hAnsi="Arial" w:cs="Arial"/>
                <w:color w:val="000000"/>
                <w:sz w:val="22"/>
                <w:szCs w:val="22"/>
              </w:rPr>
              <w:t>governments;</w:t>
            </w:r>
            <w:proofErr w:type="gramEnd"/>
            <w:r w:rsidRPr="00DB7230">
              <w:rPr>
                <w:rFonts w:ascii="Arial" w:hAnsi="Arial" w:cs="Arial"/>
                <w:color w:val="000000"/>
                <w:sz w:val="22"/>
                <w:szCs w:val="22"/>
              </w:rPr>
              <w:t xml:space="preserve"> </w:t>
            </w:r>
          </w:p>
          <w:p w14:paraId="00000041" w14:textId="77777777" w:rsidR="00D21497" w:rsidRPr="00DB7230" w:rsidRDefault="00D21497" w:rsidP="0035689D">
            <w:pPr>
              <w:numPr>
                <w:ilvl w:val="0"/>
                <w:numId w:val="5"/>
              </w:numPr>
              <w:pBdr>
                <w:top w:val="nil"/>
                <w:left w:val="nil"/>
                <w:bottom w:val="nil"/>
                <w:right w:val="nil"/>
                <w:between w:val="nil"/>
              </w:pBdr>
              <w:rPr>
                <w:rFonts w:ascii="Arial" w:hAnsi="Arial" w:cs="Arial"/>
                <w:color w:val="000000"/>
                <w:sz w:val="22"/>
                <w:szCs w:val="22"/>
              </w:rPr>
            </w:pPr>
            <w:r w:rsidRPr="00DB7230">
              <w:rPr>
                <w:rFonts w:ascii="Arial" w:hAnsi="Arial" w:cs="Arial"/>
                <w:color w:val="000000"/>
                <w:sz w:val="22"/>
                <w:szCs w:val="22"/>
              </w:rPr>
              <w:lastRenderedPageBreak/>
              <w:t xml:space="preserve">credits, rebates, or allowances actually allowed upon prompt payment or on account of claims, damaged goods, rejections, or returns of such Licensed Product, including in connection with recalls and retroactive price </w:t>
            </w:r>
            <w:proofErr w:type="gramStart"/>
            <w:r w:rsidRPr="00DB7230">
              <w:rPr>
                <w:rFonts w:ascii="Arial" w:hAnsi="Arial" w:cs="Arial"/>
                <w:color w:val="000000"/>
                <w:sz w:val="22"/>
                <w:szCs w:val="22"/>
              </w:rPr>
              <w:t>reductions;</w:t>
            </w:r>
            <w:proofErr w:type="gramEnd"/>
          </w:p>
          <w:p w14:paraId="00000042" w14:textId="77777777" w:rsidR="00D21497" w:rsidRPr="00DB7230" w:rsidRDefault="00D21497" w:rsidP="0035689D">
            <w:pPr>
              <w:numPr>
                <w:ilvl w:val="0"/>
                <w:numId w:val="5"/>
              </w:numPr>
              <w:pBdr>
                <w:top w:val="nil"/>
                <w:left w:val="nil"/>
                <w:bottom w:val="nil"/>
                <w:right w:val="nil"/>
                <w:between w:val="nil"/>
              </w:pBdr>
              <w:rPr>
                <w:rFonts w:ascii="Arial" w:hAnsi="Arial" w:cs="Arial"/>
                <w:color w:val="000000"/>
                <w:sz w:val="22"/>
                <w:szCs w:val="22"/>
              </w:rPr>
            </w:pPr>
            <w:r w:rsidRPr="00DB7230">
              <w:rPr>
                <w:rFonts w:ascii="Arial" w:hAnsi="Arial" w:cs="Arial"/>
                <w:color w:val="000000"/>
                <w:sz w:val="22"/>
                <w:szCs w:val="22"/>
              </w:rPr>
              <w:t xml:space="preserve">taxes to the extent included in the gross amount invoiced (excluding income or franchise taxes of any kind), duties, tariffs, mandated contribution, or other governmental charges levied on the sale of such Licensed Product, including VAT (net of reimbursement of any value added taxes actually received), excise taxes and sales taxes, that the Selling Party allocates to sales of such Licensed Product in accordance with its standard policies and procedures consistently applied across its products, as applicable;  </w:t>
            </w:r>
          </w:p>
          <w:p w14:paraId="00000043" w14:textId="77777777" w:rsidR="00D21497" w:rsidRPr="00DB7230" w:rsidRDefault="00D21497" w:rsidP="0035689D">
            <w:pPr>
              <w:numPr>
                <w:ilvl w:val="0"/>
                <w:numId w:val="5"/>
              </w:numPr>
              <w:pBdr>
                <w:top w:val="nil"/>
                <w:left w:val="nil"/>
                <w:bottom w:val="nil"/>
                <w:right w:val="nil"/>
                <w:between w:val="nil"/>
              </w:pBdr>
              <w:rPr>
                <w:rFonts w:ascii="Arial" w:hAnsi="Arial" w:cs="Arial"/>
                <w:color w:val="000000"/>
                <w:sz w:val="22"/>
                <w:szCs w:val="22"/>
              </w:rPr>
            </w:pPr>
            <w:r w:rsidRPr="00DB7230">
              <w:rPr>
                <w:rFonts w:ascii="Arial" w:hAnsi="Arial" w:cs="Arial"/>
                <w:color w:val="000000"/>
                <w:sz w:val="22"/>
                <w:szCs w:val="22"/>
              </w:rPr>
              <w:t xml:space="preserve">the portion of administrative fees paid during the relevant time period to group purchasing organizations, pharmaceutical benefit managers or Medicare Prescription Drug Plans relating to such Licensed </w:t>
            </w:r>
            <w:proofErr w:type="gramStart"/>
            <w:r w:rsidRPr="00DB7230">
              <w:rPr>
                <w:rFonts w:ascii="Arial" w:hAnsi="Arial" w:cs="Arial"/>
                <w:color w:val="000000"/>
                <w:sz w:val="22"/>
                <w:szCs w:val="22"/>
              </w:rPr>
              <w:t>Product;</w:t>
            </w:r>
            <w:proofErr w:type="gramEnd"/>
            <w:r w:rsidRPr="00DB7230">
              <w:rPr>
                <w:rFonts w:ascii="Arial" w:hAnsi="Arial" w:cs="Arial"/>
                <w:color w:val="000000"/>
                <w:sz w:val="22"/>
                <w:szCs w:val="22"/>
              </w:rPr>
              <w:t xml:space="preserve"> </w:t>
            </w:r>
          </w:p>
          <w:p w14:paraId="00000044" w14:textId="553DDBF9" w:rsidR="00D21497" w:rsidRPr="00DB7230" w:rsidRDefault="00D21497" w:rsidP="0035689D">
            <w:pPr>
              <w:numPr>
                <w:ilvl w:val="0"/>
                <w:numId w:val="5"/>
              </w:numPr>
              <w:pBdr>
                <w:top w:val="nil"/>
                <w:left w:val="nil"/>
                <w:bottom w:val="nil"/>
                <w:right w:val="nil"/>
                <w:between w:val="nil"/>
              </w:pBdr>
              <w:rPr>
                <w:rFonts w:ascii="Arial" w:hAnsi="Arial" w:cs="Arial"/>
                <w:color w:val="000000"/>
                <w:sz w:val="22"/>
                <w:szCs w:val="22"/>
              </w:rPr>
            </w:pPr>
            <w:r w:rsidRPr="00DB7230">
              <w:rPr>
                <w:rFonts w:ascii="Arial" w:hAnsi="Arial" w:cs="Arial"/>
                <w:color w:val="000000"/>
                <w:sz w:val="22"/>
                <w:szCs w:val="22"/>
              </w:rPr>
              <w:t>any invoiced amounts from a prior period which are not collected and are written off by the Selling Party, including bad debts</w:t>
            </w:r>
            <w:r w:rsidR="00960410" w:rsidRPr="00DB7230">
              <w:rPr>
                <w:rFonts w:ascii="Arial" w:hAnsi="Arial" w:cs="Arial"/>
                <w:color w:val="000000"/>
                <w:sz w:val="22"/>
                <w:szCs w:val="22"/>
              </w:rPr>
              <w:t xml:space="preserve"> (provided that if the debt is thereafter paid, the corresponding amount shall be added to the Net Sales for the period during which it is paid</w:t>
            </w:r>
            <w:proofErr w:type="gramStart"/>
            <w:r w:rsidR="00960410" w:rsidRPr="00DB7230">
              <w:rPr>
                <w:rFonts w:ascii="Arial" w:hAnsi="Arial" w:cs="Arial"/>
                <w:color w:val="000000"/>
                <w:sz w:val="22"/>
                <w:szCs w:val="22"/>
              </w:rPr>
              <w:t>)</w:t>
            </w:r>
            <w:r w:rsidRPr="00DB7230">
              <w:rPr>
                <w:rFonts w:ascii="Arial" w:hAnsi="Arial" w:cs="Arial"/>
                <w:color w:val="000000"/>
                <w:sz w:val="22"/>
                <w:szCs w:val="22"/>
              </w:rPr>
              <w:t>;</w:t>
            </w:r>
            <w:proofErr w:type="gramEnd"/>
            <w:r w:rsidRPr="00DB7230">
              <w:rPr>
                <w:rFonts w:ascii="Arial" w:hAnsi="Arial" w:cs="Arial"/>
                <w:color w:val="000000"/>
                <w:sz w:val="22"/>
                <w:szCs w:val="22"/>
              </w:rPr>
              <w:t xml:space="preserve"> </w:t>
            </w:r>
          </w:p>
          <w:p w14:paraId="00000045" w14:textId="16A45810" w:rsidR="00D21497" w:rsidRPr="00DB7230" w:rsidRDefault="00D21497" w:rsidP="0035689D">
            <w:pPr>
              <w:numPr>
                <w:ilvl w:val="0"/>
                <w:numId w:val="5"/>
              </w:numPr>
              <w:pBdr>
                <w:top w:val="nil"/>
                <w:left w:val="nil"/>
                <w:bottom w:val="nil"/>
                <w:right w:val="nil"/>
                <w:between w:val="nil"/>
              </w:pBdr>
              <w:rPr>
                <w:rFonts w:ascii="Arial" w:hAnsi="Arial" w:cs="Arial"/>
                <w:color w:val="000000"/>
                <w:sz w:val="22"/>
                <w:szCs w:val="22"/>
              </w:rPr>
            </w:pPr>
            <w:r w:rsidRPr="00DB7230">
              <w:rPr>
                <w:rFonts w:ascii="Arial" w:hAnsi="Arial" w:cs="Arial"/>
                <w:color w:val="000000"/>
                <w:sz w:val="22"/>
                <w:szCs w:val="22"/>
              </w:rPr>
              <w:t xml:space="preserve">that portion of the annual fee on prescription drug manufacturers imposed by the Patient Protection and Affordable Care Act, Pub. L. No. 111-148 (as amended) to the extent (a) reasonably allocable to sales of such Licensed Product and (b) the Selling Party actually includes such fee as a deduction from gross revenue in its </w:t>
            </w:r>
            <w:r w:rsidR="00EB6195">
              <w:rPr>
                <w:rFonts w:ascii="Arial" w:hAnsi="Arial" w:cs="Arial"/>
                <w:color w:val="000000"/>
                <w:sz w:val="22"/>
                <w:szCs w:val="22"/>
              </w:rPr>
              <w:t>[</w:t>
            </w:r>
            <w:r w:rsidRPr="00DB7230">
              <w:rPr>
                <w:rFonts w:ascii="Arial" w:hAnsi="Arial" w:cs="Arial"/>
                <w:color w:val="000000"/>
                <w:sz w:val="22"/>
                <w:szCs w:val="22"/>
              </w:rPr>
              <w:t>publicly filed</w:t>
            </w:r>
            <w:r w:rsidR="00EB6195">
              <w:rPr>
                <w:rFonts w:ascii="Arial" w:hAnsi="Arial" w:cs="Arial"/>
                <w:color w:val="000000"/>
                <w:sz w:val="22"/>
                <w:szCs w:val="22"/>
              </w:rPr>
              <w:t>]</w:t>
            </w:r>
            <w:r w:rsidRPr="00DB7230">
              <w:rPr>
                <w:rFonts w:ascii="Arial" w:hAnsi="Arial" w:cs="Arial"/>
                <w:color w:val="000000"/>
                <w:sz w:val="22"/>
                <w:szCs w:val="22"/>
              </w:rPr>
              <w:t xml:space="preserve"> financial </w:t>
            </w:r>
            <w:proofErr w:type="gramStart"/>
            <w:r w:rsidRPr="00DB7230">
              <w:rPr>
                <w:rFonts w:ascii="Arial" w:hAnsi="Arial" w:cs="Arial"/>
                <w:color w:val="000000"/>
                <w:sz w:val="22"/>
                <w:szCs w:val="22"/>
              </w:rPr>
              <w:t>reports;</w:t>
            </w:r>
            <w:proofErr w:type="gramEnd"/>
            <w:r w:rsidRPr="00DB7230">
              <w:rPr>
                <w:rFonts w:ascii="Arial" w:hAnsi="Arial" w:cs="Arial"/>
                <w:color w:val="000000"/>
                <w:sz w:val="22"/>
                <w:szCs w:val="22"/>
                <w:vertAlign w:val="superscript"/>
              </w:rPr>
              <w:t xml:space="preserve"> </w:t>
            </w:r>
          </w:p>
          <w:p w14:paraId="00000046" w14:textId="77777777" w:rsidR="00D21497" w:rsidRPr="00DB7230" w:rsidRDefault="00D21497" w:rsidP="0035689D">
            <w:pPr>
              <w:numPr>
                <w:ilvl w:val="0"/>
                <w:numId w:val="5"/>
              </w:numPr>
              <w:pBdr>
                <w:top w:val="nil"/>
                <w:left w:val="nil"/>
                <w:bottom w:val="nil"/>
                <w:right w:val="nil"/>
                <w:between w:val="nil"/>
              </w:pBdr>
              <w:rPr>
                <w:rFonts w:ascii="Arial" w:hAnsi="Arial" w:cs="Arial"/>
                <w:color w:val="000000"/>
                <w:sz w:val="22"/>
                <w:szCs w:val="22"/>
              </w:rPr>
            </w:pPr>
            <w:r w:rsidRPr="00DB7230">
              <w:rPr>
                <w:rFonts w:ascii="Arial" w:hAnsi="Arial" w:cs="Arial"/>
                <w:color w:val="000000"/>
                <w:sz w:val="22"/>
                <w:szCs w:val="22"/>
              </w:rPr>
              <w:t xml:space="preserve">packaging, freight, postage, shipping, transportation, warehousing, handling, export/import and insurance charges, in each case, actually allowed or paid for delivery of such Licensed Product, and any customary payments with respect to such Licensed Product actually made to wholesalers or other Distributors, in each case, actually allowed or paid for distribution and delivery of such Licensed Product, to the extent billed on actual </w:t>
            </w:r>
            <w:proofErr w:type="gramStart"/>
            <w:r w:rsidRPr="00DB7230">
              <w:rPr>
                <w:rFonts w:ascii="Arial" w:hAnsi="Arial" w:cs="Arial"/>
                <w:color w:val="000000"/>
                <w:sz w:val="22"/>
                <w:szCs w:val="22"/>
              </w:rPr>
              <w:t>invoices;</w:t>
            </w:r>
            <w:proofErr w:type="gramEnd"/>
          </w:p>
          <w:p w14:paraId="00000047" w14:textId="77777777" w:rsidR="00D21497" w:rsidRPr="00DB7230" w:rsidRDefault="00D21497" w:rsidP="0035689D">
            <w:pPr>
              <w:numPr>
                <w:ilvl w:val="0"/>
                <w:numId w:val="5"/>
              </w:numPr>
              <w:pBdr>
                <w:top w:val="nil"/>
                <w:left w:val="nil"/>
                <w:bottom w:val="nil"/>
                <w:right w:val="nil"/>
                <w:between w:val="nil"/>
              </w:pBdr>
              <w:rPr>
                <w:rFonts w:ascii="Arial" w:hAnsi="Arial" w:cs="Arial"/>
                <w:color w:val="000000"/>
                <w:sz w:val="22"/>
                <w:szCs w:val="22"/>
              </w:rPr>
            </w:pPr>
            <w:bookmarkStart w:id="3" w:name="_heading=h.nsm2tpc6dpoy" w:colFirst="0" w:colLast="0"/>
            <w:bookmarkEnd w:id="3"/>
            <w:r w:rsidRPr="00DB7230">
              <w:rPr>
                <w:rFonts w:ascii="Arial" w:hAnsi="Arial" w:cs="Arial"/>
                <w:color w:val="000000"/>
                <w:sz w:val="22"/>
                <w:szCs w:val="22"/>
              </w:rPr>
              <w:t xml:space="preserve">any sales, credits, or allowances given or made with respect to such Licensed Product for wastage replacement; and </w:t>
            </w:r>
          </w:p>
          <w:p w14:paraId="00000048" w14:textId="77777777" w:rsidR="00D21497" w:rsidRPr="00DB7230" w:rsidRDefault="00D21497" w:rsidP="0035689D">
            <w:pPr>
              <w:numPr>
                <w:ilvl w:val="0"/>
                <w:numId w:val="5"/>
              </w:numPr>
              <w:pBdr>
                <w:top w:val="nil"/>
                <w:left w:val="nil"/>
                <w:bottom w:val="nil"/>
                <w:right w:val="nil"/>
                <w:between w:val="nil"/>
              </w:pBdr>
              <w:rPr>
                <w:rFonts w:ascii="Arial" w:hAnsi="Arial" w:cs="Arial"/>
                <w:color w:val="000000"/>
                <w:sz w:val="22"/>
                <w:szCs w:val="22"/>
              </w:rPr>
            </w:pPr>
            <w:r w:rsidRPr="00DB7230">
              <w:rPr>
                <w:rFonts w:ascii="Arial" w:hAnsi="Arial" w:cs="Arial"/>
                <w:color w:val="000000"/>
                <w:sz w:val="22"/>
                <w:szCs w:val="22"/>
              </w:rPr>
              <w:t xml:space="preserve">any other similar and customary deductions that are consistent with GAAP as consistently applied by Selling Party to </w:t>
            </w:r>
            <w:proofErr w:type="gramStart"/>
            <w:r w:rsidRPr="00DB7230">
              <w:rPr>
                <w:rFonts w:ascii="Arial" w:hAnsi="Arial" w:cs="Arial"/>
                <w:color w:val="000000"/>
                <w:sz w:val="22"/>
                <w:szCs w:val="22"/>
              </w:rPr>
              <w:t>all of</w:t>
            </w:r>
            <w:proofErr w:type="gramEnd"/>
            <w:r w:rsidRPr="00DB7230">
              <w:rPr>
                <w:rFonts w:ascii="Arial" w:hAnsi="Arial" w:cs="Arial"/>
                <w:color w:val="000000"/>
                <w:sz w:val="22"/>
                <w:szCs w:val="22"/>
              </w:rPr>
              <w:t xml:space="preserve"> its products, but which may not be duplicative of the above deductions.</w:t>
            </w:r>
          </w:p>
          <w:p w14:paraId="1328BD08" w14:textId="77777777" w:rsidR="00D21497" w:rsidRPr="00DB7230" w:rsidRDefault="00D21497" w:rsidP="0035689D">
            <w:pPr>
              <w:pBdr>
                <w:top w:val="nil"/>
                <w:left w:val="nil"/>
                <w:bottom w:val="nil"/>
                <w:right w:val="nil"/>
                <w:between w:val="nil"/>
              </w:pBdr>
              <w:shd w:val="clear" w:color="auto" w:fill="FFFFFF"/>
              <w:spacing w:after="150"/>
              <w:rPr>
                <w:rFonts w:ascii="Arial" w:hAnsi="Arial" w:cs="Arial"/>
                <w:color w:val="000000"/>
                <w:sz w:val="22"/>
                <w:szCs w:val="22"/>
              </w:rPr>
            </w:pPr>
          </w:p>
          <w:p w14:paraId="0000004A" w14:textId="19F7C6D7" w:rsidR="00D21497" w:rsidRPr="00DB7230" w:rsidRDefault="00D21497" w:rsidP="0035689D">
            <w:pPr>
              <w:pBdr>
                <w:top w:val="nil"/>
                <w:left w:val="nil"/>
                <w:bottom w:val="nil"/>
                <w:right w:val="nil"/>
                <w:between w:val="nil"/>
              </w:pBdr>
              <w:shd w:val="clear" w:color="auto" w:fill="FFFFFF"/>
              <w:spacing w:after="150"/>
              <w:rPr>
                <w:rFonts w:ascii="Arial" w:hAnsi="Arial" w:cs="Arial"/>
                <w:color w:val="000000"/>
                <w:sz w:val="22"/>
                <w:szCs w:val="22"/>
              </w:rPr>
            </w:pPr>
            <w:r w:rsidRPr="00DB7230">
              <w:rPr>
                <w:rFonts w:ascii="Arial" w:hAnsi="Arial" w:cs="Arial"/>
                <w:color w:val="000000"/>
                <w:sz w:val="22"/>
                <w:szCs w:val="22"/>
              </w:rPr>
              <w:t>For Combination Products</w:t>
            </w:r>
            <w:r w:rsidRPr="00DB7230">
              <w:rPr>
                <w:rFonts w:ascii="Arial" w:hAnsi="Arial" w:cs="Arial"/>
                <w:bCs/>
                <w:iCs/>
                <w:color w:val="000000"/>
                <w:sz w:val="22"/>
                <w:szCs w:val="22"/>
              </w:rPr>
              <w:t>,</w:t>
            </w:r>
            <w:r w:rsidRPr="00DB7230">
              <w:rPr>
                <w:rFonts w:ascii="Arial" w:hAnsi="Arial" w:cs="Arial"/>
                <w:color w:val="000000"/>
                <w:sz w:val="22"/>
                <w:szCs w:val="22"/>
              </w:rPr>
              <w:t xml:space="preserve"> Net </w:t>
            </w:r>
            <w:proofErr w:type="spellStart"/>
            <w:r w:rsidRPr="00DB7230">
              <w:rPr>
                <w:rFonts w:ascii="Arial" w:hAnsi="Arial" w:cs="Arial"/>
                <w:color w:val="000000"/>
                <w:sz w:val="22"/>
                <w:szCs w:val="22"/>
              </w:rPr>
              <w:t>Sales</w:t>
            </w:r>
            <w:r w:rsidR="00AE7FD5" w:rsidRPr="00DB7230">
              <w:rPr>
                <w:rFonts w:ascii="Arial" w:hAnsi="Arial" w:cs="Arial"/>
                <w:color w:val="000000"/>
                <w:sz w:val="22"/>
                <w:szCs w:val="22"/>
              </w:rPr>
              <w:t>will</w:t>
            </w:r>
            <w:proofErr w:type="spellEnd"/>
            <w:r w:rsidRPr="00DB7230">
              <w:rPr>
                <w:rFonts w:ascii="Arial" w:hAnsi="Arial" w:cs="Arial"/>
                <w:color w:val="000000"/>
                <w:sz w:val="22"/>
                <w:szCs w:val="22"/>
              </w:rPr>
              <w:t xml:space="preserve"> be calculated as follows:</w:t>
            </w:r>
          </w:p>
          <w:p w14:paraId="0000004B" w14:textId="33D4C4B7" w:rsidR="00D21497" w:rsidRPr="00DB7230" w:rsidRDefault="00D21497" w:rsidP="0035689D">
            <w:pPr>
              <w:numPr>
                <w:ilvl w:val="0"/>
                <w:numId w:val="6"/>
              </w:numPr>
              <w:pBdr>
                <w:top w:val="nil"/>
                <w:left w:val="nil"/>
                <w:bottom w:val="nil"/>
                <w:right w:val="nil"/>
                <w:between w:val="nil"/>
              </w:pBdr>
              <w:rPr>
                <w:rFonts w:ascii="Arial" w:hAnsi="Arial" w:cs="Arial"/>
                <w:sz w:val="22"/>
                <w:szCs w:val="22"/>
              </w:rPr>
            </w:pPr>
            <w:r w:rsidRPr="00DB7230">
              <w:rPr>
                <w:rFonts w:ascii="Arial" w:hAnsi="Arial" w:cs="Arial"/>
                <w:color w:val="000000"/>
                <w:sz w:val="22"/>
                <w:szCs w:val="22"/>
              </w:rPr>
              <w:t xml:space="preserve">If the Licensed Product and all Other Components of the Combination Product were sold separately during the same or immediately preceding calendar quarter, the proration factor </w:t>
            </w:r>
            <w:r w:rsidR="00AE7FD5" w:rsidRPr="00DB7230">
              <w:rPr>
                <w:rFonts w:ascii="Arial" w:hAnsi="Arial" w:cs="Arial"/>
                <w:color w:val="000000"/>
                <w:sz w:val="22"/>
                <w:szCs w:val="22"/>
              </w:rPr>
              <w:t>will</w:t>
            </w:r>
            <w:r w:rsidRPr="00DB7230">
              <w:rPr>
                <w:rFonts w:ascii="Arial" w:hAnsi="Arial" w:cs="Arial"/>
                <w:color w:val="000000"/>
                <w:sz w:val="22"/>
                <w:szCs w:val="22"/>
              </w:rPr>
              <w:t xml:space="preserve"> be determined by the formula [A / (A+B)], where A is the weighted average</w:t>
            </w:r>
            <w:r w:rsidRPr="00DB7230">
              <w:rPr>
                <w:rFonts w:ascii="Arial" w:hAnsi="Arial" w:cs="Arial"/>
                <w:color w:val="000000"/>
                <w:sz w:val="22"/>
                <w:szCs w:val="22"/>
                <w:vertAlign w:val="superscript"/>
              </w:rPr>
              <w:footnoteReference w:id="20"/>
            </w:r>
            <w:r w:rsidRPr="00DB7230">
              <w:rPr>
                <w:rFonts w:ascii="Arial" w:hAnsi="Arial" w:cs="Arial"/>
                <w:color w:val="000000"/>
                <w:sz w:val="22"/>
                <w:szCs w:val="22"/>
              </w:rPr>
              <w:t xml:space="preserve"> invoice price of all Licensed Product components during such period when sold separately from the Other Component(s), and B is the weighted average gross invoice price of the Other Components during such period when sold separately from the Licensed Product (as applicable);</w:t>
            </w:r>
          </w:p>
          <w:p w14:paraId="0000004C" w14:textId="2376A98C" w:rsidR="00D21497" w:rsidRPr="00DB7230" w:rsidRDefault="00D21497" w:rsidP="0035689D">
            <w:pPr>
              <w:numPr>
                <w:ilvl w:val="0"/>
                <w:numId w:val="6"/>
              </w:numPr>
              <w:pBdr>
                <w:top w:val="nil"/>
                <w:left w:val="nil"/>
                <w:bottom w:val="nil"/>
                <w:right w:val="nil"/>
                <w:between w:val="nil"/>
              </w:pBdr>
              <w:rPr>
                <w:rFonts w:ascii="Arial" w:hAnsi="Arial" w:cs="Arial"/>
                <w:sz w:val="22"/>
                <w:szCs w:val="22"/>
              </w:rPr>
            </w:pPr>
            <w:r w:rsidRPr="00DB7230">
              <w:rPr>
                <w:rFonts w:ascii="Arial" w:hAnsi="Arial" w:cs="Arial"/>
                <w:color w:val="000000"/>
                <w:sz w:val="22"/>
                <w:szCs w:val="22"/>
              </w:rPr>
              <w:t>If</w:t>
            </w:r>
            <w:r w:rsidR="00D413C6">
              <w:rPr>
                <w:rFonts w:ascii="Arial" w:hAnsi="Arial" w:cs="Arial"/>
                <w:color w:val="000000"/>
                <w:sz w:val="22"/>
                <w:szCs w:val="22"/>
              </w:rPr>
              <w:t>,</w:t>
            </w:r>
            <w:r w:rsidRPr="00DB7230">
              <w:rPr>
                <w:rFonts w:ascii="Arial" w:hAnsi="Arial" w:cs="Arial"/>
                <w:color w:val="000000"/>
                <w:sz w:val="22"/>
                <w:szCs w:val="22"/>
              </w:rPr>
              <w:t xml:space="preserve"> </w:t>
            </w:r>
            <w:r w:rsidR="00D413C6">
              <w:rPr>
                <w:rFonts w:ascii="Arial" w:hAnsi="Arial" w:cs="Arial"/>
                <w:color w:val="000000"/>
                <w:sz w:val="22"/>
                <w:szCs w:val="22"/>
              </w:rPr>
              <w:t xml:space="preserve">during the same or immediately preceding calendar quarter, </w:t>
            </w:r>
            <w:r w:rsidRPr="00DB7230">
              <w:rPr>
                <w:rFonts w:ascii="Arial" w:hAnsi="Arial" w:cs="Arial"/>
                <w:color w:val="000000"/>
                <w:sz w:val="22"/>
                <w:szCs w:val="22"/>
              </w:rPr>
              <w:t>the Licensed Product components containing only the Licensed Compound as its A</w:t>
            </w:r>
            <w:r w:rsidR="00CD0CD5" w:rsidRPr="00DB7230">
              <w:rPr>
                <w:rFonts w:ascii="Arial" w:hAnsi="Arial" w:cs="Arial"/>
                <w:color w:val="000000"/>
                <w:sz w:val="22"/>
                <w:szCs w:val="22"/>
              </w:rPr>
              <w:t>ctive Ingredient</w:t>
            </w:r>
            <w:r w:rsidRPr="00DB7230">
              <w:rPr>
                <w:rFonts w:ascii="Arial" w:hAnsi="Arial" w:cs="Arial"/>
                <w:color w:val="000000"/>
                <w:sz w:val="22"/>
                <w:szCs w:val="22"/>
              </w:rPr>
              <w:t xml:space="preserve"> are sold separately from the Other Components, but the Other </w:t>
            </w:r>
            <w:r w:rsidRPr="00DB7230">
              <w:rPr>
                <w:rFonts w:ascii="Arial" w:hAnsi="Arial" w:cs="Arial"/>
                <w:color w:val="000000"/>
                <w:sz w:val="22"/>
                <w:szCs w:val="22"/>
              </w:rPr>
              <w:lastRenderedPageBreak/>
              <w:t xml:space="preserve">Components in such Combination Product are not sold separately, then the proration factor </w:t>
            </w:r>
            <w:r w:rsidR="00AE7FD5" w:rsidRPr="00DB7230">
              <w:rPr>
                <w:rFonts w:ascii="Arial" w:hAnsi="Arial" w:cs="Arial"/>
                <w:color w:val="000000"/>
                <w:sz w:val="22"/>
                <w:szCs w:val="22"/>
              </w:rPr>
              <w:t>will</w:t>
            </w:r>
            <w:r w:rsidRPr="00DB7230">
              <w:rPr>
                <w:rFonts w:ascii="Arial" w:hAnsi="Arial" w:cs="Arial"/>
                <w:color w:val="000000"/>
                <w:sz w:val="22"/>
                <w:szCs w:val="22"/>
              </w:rPr>
              <w:t xml:space="preserve"> be determined by the formula [A / C], where A is the average gross sales price of all Licensed Product components containing only the Licensed Compound as its </w:t>
            </w:r>
            <w:r w:rsidR="00CD0CD5" w:rsidRPr="00DB7230">
              <w:rPr>
                <w:rFonts w:ascii="Arial" w:hAnsi="Arial" w:cs="Arial"/>
                <w:color w:val="000000"/>
                <w:sz w:val="22"/>
                <w:szCs w:val="22"/>
              </w:rPr>
              <w:t>Active Ingredient</w:t>
            </w:r>
            <w:r w:rsidR="00CD0CD5" w:rsidRPr="00DB7230" w:rsidDel="00CD0CD5">
              <w:rPr>
                <w:rFonts w:ascii="Arial" w:hAnsi="Arial" w:cs="Arial"/>
                <w:color w:val="000000"/>
                <w:sz w:val="22"/>
                <w:szCs w:val="22"/>
              </w:rPr>
              <w:t xml:space="preserve"> </w:t>
            </w:r>
            <w:r w:rsidRPr="00DB7230">
              <w:rPr>
                <w:rFonts w:ascii="Arial" w:hAnsi="Arial" w:cs="Arial"/>
                <w:color w:val="000000"/>
                <w:sz w:val="22"/>
                <w:szCs w:val="22"/>
              </w:rPr>
              <w:t xml:space="preserve"> during such period when sold separately from the Other Components, and C is the average gross sales price of the Combination Product during such period; </w:t>
            </w:r>
          </w:p>
          <w:p w14:paraId="0000004D" w14:textId="259D1335" w:rsidR="00D21497" w:rsidRPr="00DB7230" w:rsidRDefault="00D21497" w:rsidP="0035689D">
            <w:pPr>
              <w:numPr>
                <w:ilvl w:val="0"/>
                <w:numId w:val="6"/>
              </w:numPr>
              <w:pBdr>
                <w:top w:val="nil"/>
                <w:left w:val="nil"/>
                <w:bottom w:val="nil"/>
                <w:right w:val="nil"/>
                <w:between w:val="nil"/>
              </w:pBdr>
              <w:rPr>
                <w:rFonts w:ascii="Arial" w:hAnsi="Arial" w:cs="Arial"/>
                <w:sz w:val="22"/>
                <w:szCs w:val="22"/>
              </w:rPr>
            </w:pPr>
            <w:r w:rsidRPr="00DB7230">
              <w:rPr>
                <w:rFonts w:ascii="Arial" w:hAnsi="Arial" w:cs="Arial"/>
                <w:color w:val="000000"/>
                <w:sz w:val="22"/>
                <w:szCs w:val="22"/>
              </w:rPr>
              <w:t>If</w:t>
            </w:r>
            <w:r w:rsidR="00D413C6">
              <w:rPr>
                <w:rFonts w:ascii="Arial" w:hAnsi="Arial" w:cs="Arial"/>
                <w:color w:val="000000"/>
                <w:sz w:val="22"/>
                <w:szCs w:val="22"/>
              </w:rPr>
              <w:t>, during the same or the immediately preceding calendar quarter,</w:t>
            </w:r>
            <w:r w:rsidRPr="00DB7230">
              <w:rPr>
                <w:rFonts w:ascii="Arial" w:hAnsi="Arial" w:cs="Arial"/>
                <w:color w:val="000000"/>
                <w:sz w:val="22"/>
                <w:szCs w:val="22"/>
              </w:rPr>
              <w:t xml:space="preserve"> the Licensed Product components containing only the Licensed Compound as its </w:t>
            </w:r>
            <w:r w:rsidR="00CD0CD5" w:rsidRPr="00DB7230">
              <w:rPr>
                <w:rFonts w:ascii="Arial" w:hAnsi="Arial" w:cs="Arial"/>
                <w:color w:val="000000"/>
                <w:sz w:val="22"/>
                <w:szCs w:val="22"/>
              </w:rPr>
              <w:t xml:space="preserve"> Active Ingredient</w:t>
            </w:r>
            <w:r w:rsidRPr="00DB7230">
              <w:rPr>
                <w:rFonts w:ascii="Arial" w:hAnsi="Arial" w:cs="Arial"/>
                <w:color w:val="000000"/>
                <w:sz w:val="22"/>
                <w:szCs w:val="22"/>
              </w:rPr>
              <w:t xml:space="preserve"> are not sold separately from the Other Components, but the Other Components in such Combination Product are sold separately, then the proration factor </w:t>
            </w:r>
            <w:r w:rsidR="00AE7FD5" w:rsidRPr="00DB7230">
              <w:rPr>
                <w:rFonts w:ascii="Arial" w:hAnsi="Arial" w:cs="Arial"/>
                <w:color w:val="000000"/>
                <w:sz w:val="22"/>
                <w:szCs w:val="22"/>
              </w:rPr>
              <w:t>will</w:t>
            </w:r>
            <w:r w:rsidRPr="00DB7230">
              <w:rPr>
                <w:rFonts w:ascii="Arial" w:hAnsi="Arial" w:cs="Arial"/>
                <w:color w:val="000000"/>
                <w:sz w:val="22"/>
                <w:szCs w:val="22"/>
              </w:rPr>
              <w:t xml:space="preserve"> be determined by the formula [(C- B) / C], where B is the average gross sales price of the Other Components included in such Combination Product if sold separately from the other component(s), and C is the average gross sales price of the Combination Product during such period; or</w:t>
            </w:r>
          </w:p>
          <w:p w14:paraId="0000004F" w14:textId="5E2158D7" w:rsidR="00D21497" w:rsidRPr="00DB7230" w:rsidRDefault="00D21497" w:rsidP="00EB6195">
            <w:pPr>
              <w:numPr>
                <w:ilvl w:val="0"/>
                <w:numId w:val="6"/>
              </w:numPr>
              <w:pBdr>
                <w:top w:val="nil"/>
                <w:left w:val="nil"/>
                <w:bottom w:val="nil"/>
                <w:right w:val="nil"/>
                <w:between w:val="nil"/>
              </w:pBdr>
              <w:rPr>
                <w:rFonts w:ascii="Arial" w:hAnsi="Arial" w:cs="Arial"/>
                <w:sz w:val="22"/>
                <w:szCs w:val="22"/>
              </w:rPr>
            </w:pPr>
            <w:r w:rsidRPr="00DB7230">
              <w:rPr>
                <w:rFonts w:ascii="Arial" w:hAnsi="Arial" w:cs="Arial"/>
                <w:color w:val="000000"/>
                <w:sz w:val="22"/>
                <w:szCs w:val="22"/>
              </w:rPr>
              <w:t xml:space="preserve">If neither the Licensed Compound nor the Other Components included in the Combination Product were sold or provided separately during the </w:t>
            </w:r>
            <w:r w:rsidR="00D413C6">
              <w:rPr>
                <w:rFonts w:ascii="Arial" w:hAnsi="Arial" w:cs="Arial"/>
                <w:color w:val="000000"/>
                <w:sz w:val="22"/>
                <w:szCs w:val="22"/>
              </w:rPr>
              <w:t xml:space="preserve">same or immediately preceding calendar quarter, then </w:t>
            </w:r>
            <w:r w:rsidR="00EB6195">
              <w:rPr>
                <w:rFonts w:ascii="Arial" w:hAnsi="Arial" w:cs="Arial"/>
                <w:color w:val="000000"/>
                <w:sz w:val="22"/>
                <w:szCs w:val="22"/>
              </w:rPr>
              <w:t>O</w:t>
            </w:r>
            <w:r w:rsidR="00D413C6">
              <w:rPr>
                <w:rFonts w:ascii="Arial" w:hAnsi="Arial" w:cs="Arial"/>
                <w:color w:val="000000"/>
                <w:sz w:val="22"/>
                <w:szCs w:val="22"/>
              </w:rPr>
              <w:t>PTIO</w:t>
            </w:r>
            <w:r w:rsidR="00EB6195">
              <w:rPr>
                <w:rFonts w:ascii="Arial" w:hAnsi="Arial" w:cs="Arial"/>
                <w:color w:val="000000"/>
                <w:sz w:val="22"/>
                <w:szCs w:val="22"/>
              </w:rPr>
              <w:t xml:space="preserve">N #1: </w:t>
            </w:r>
            <w:r w:rsidRPr="00DB7230">
              <w:rPr>
                <w:rFonts w:ascii="Arial" w:hAnsi="Arial" w:cs="Arial"/>
                <w:color w:val="000000"/>
                <w:sz w:val="22"/>
                <w:szCs w:val="22"/>
              </w:rPr>
              <w:t xml:space="preserve">the proration factor </w:t>
            </w:r>
            <w:r w:rsidR="00AE7FD5" w:rsidRPr="00DB7230">
              <w:rPr>
                <w:rFonts w:ascii="Arial" w:hAnsi="Arial" w:cs="Arial"/>
                <w:color w:val="000000"/>
                <w:sz w:val="22"/>
                <w:szCs w:val="22"/>
              </w:rPr>
              <w:t>will</w:t>
            </w:r>
            <w:r w:rsidRPr="00DB7230">
              <w:rPr>
                <w:rFonts w:ascii="Arial" w:hAnsi="Arial" w:cs="Arial"/>
                <w:color w:val="000000"/>
                <w:sz w:val="22"/>
                <w:szCs w:val="22"/>
              </w:rPr>
              <w:t xml:space="preserve"> be mutually agreed upon by the parties in good faith based on the relative value contributed by each component and, to the extent the parties are unable to establish such proration factor, then such proration factor </w:t>
            </w:r>
            <w:r w:rsidR="00AE7FD5" w:rsidRPr="00DB7230">
              <w:rPr>
                <w:rFonts w:ascii="Arial" w:hAnsi="Arial" w:cs="Arial"/>
                <w:color w:val="000000"/>
                <w:sz w:val="22"/>
                <w:szCs w:val="22"/>
              </w:rPr>
              <w:t>will</w:t>
            </w:r>
            <w:r w:rsidRPr="00DB7230">
              <w:rPr>
                <w:rFonts w:ascii="Arial" w:hAnsi="Arial" w:cs="Arial"/>
                <w:color w:val="000000"/>
                <w:sz w:val="22"/>
                <w:szCs w:val="22"/>
              </w:rPr>
              <w:t xml:space="preserve"> be established by </w:t>
            </w:r>
            <w:r w:rsidR="00CD0CD5" w:rsidRPr="00DB7230">
              <w:rPr>
                <w:rFonts w:ascii="Arial" w:hAnsi="Arial" w:cs="Arial"/>
                <w:color w:val="000000"/>
                <w:sz w:val="22"/>
                <w:szCs w:val="22"/>
              </w:rPr>
              <w:t>Standard Dispute Resolution</w:t>
            </w:r>
            <w:r w:rsidR="00EB6195">
              <w:rPr>
                <w:rFonts w:ascii="Arial" w:hAnsi="Arial" w:cs="Arial"/>
                <w:color w:val="000000"/>
                <w:sz w:val="22"/>
                <w:szCs w:val="22"/>
              </w:rPr>
              <w:t xml:space="preserve">] [OPTION #2 </w:t>
            </w:r>
            <w:r w:rsidRPr="00DB7230">
              <w:rPr>
                <w:rFonts w:ascii="Arial" w:hAnsi="Arial" w:cs="Arial"/>
                <w:color w:val="000000"/>
                <w:sz w:val="22"/>
                <w:szCs w:val="22"/>
              </w:rPr>
              <w:t xml:space="preserve">the invoiced amounts for the </w:t>
            </w:r>
            <w:r w:rsidR="008F7707" w:rsidRPr="00DB7230">
              <w:rPr>
                <w:rFonts w:ascii="Arial" w:hAnsi="Arial" w:cs="Arial"/>
                <w:color w:val="000000"/>
                <w:sz w:val="22"/>
                <w:szCs w:val="22"/>
              </w:rPr>
              <w:t>C</w:t>
            </w:r>
            <w:r w:rsidRPr="00DB7230">
              <w:rPr>
                <w:rFonts w:ascii="Arial" w:hAnsi="Arial" w:cs="Arial"/>
                <w:color w:val="000000"/>
                <w:sz w:val="22"/>
                <w:szCs w:val="22"/>
              </w:rPr>
              <w:t xml:space="preserve">ombination </w:t>
            </w:r>
            <w:r w:rsidR="008F7707" w:rsidRPr="00DB7230">
              <w:rPr>
                <w:rFonts w:ascii="Arial" w:hAnsi="Arial" w:cs="Arial"/>
                <w:color w:val="000000"/>
                <w:sz w:val="22"/>
                <w:szCs w:val="22"/>
              </w:rPr>
              <w:t>P</w:t>
            </w:r>
            <w:r w:rsidRPr="00DB7230">
              <w:rPr>
                <w:rFonts w:ascii="Arial" w:hAnsi="Arial" w:cs="Arial"/>
                <w:color w:val="000000"/>
                <w:sz w:val="22"/>
                <w:szCs w:val="22"/>
              </w:rPr>
              <w:t xml:space="preserve">roduct for purposes of calculating Net Sales </w:t>
            </w:r>
            <w:r w:rsidR="00AE7FD5" w:rsidRPr="00DB7230">
              <w:rPr>
                <w:rFonts w:ascii="Arial" w:hAnsi="Arial" w:cs="Arial"/>
                <w:color w:val="000000"/>
                <w:sz w:val="22"/>
                <w:szCs w:val="22"/>
              </w:rPr>
              <w:t>will</w:t>
            </w:r>
            <w:r w:rsidRPr="00DB7230">
              <w:rPr>
                <w:rFonts w:ascii="Arial" w:hAnsi="Arial" w:cs="Arial"/>
                <w:color w:val="000000"/>
                <w:sz w:val="22"/>
                <w:szCs w:val="22"/>
              </w:rPr>
              <w:t xml:space="preserve"> be multiplied by the fraction C/(C + D), where C is the average fully burdened cost of manufacture of the Licensed Products during the immediately preceding CY and D is the average fully burdened cost of manufacture of the additional items during the immediately preceding CY, in each case calculated in accordance with GAAP</w:t>
            </w:r>
            <w:r w:rsidR="00EB6195">
              <w:rPr>
                <w:rFonts w:ascii="Arial" w:hAnsi="Arial" w:cs="Arial"/>
                <w:color w:val="000000"/>
                <w:sz w:val="22"/>
                <w:szCs w:val="22"/>
              </w:rPr>
              <w:t>]</w:t>
            </w:r>
            <w:r w:rsidRPr="00DB7230">
              <w:rPr>
                <w:rFonts w:ascii="Arial" w:hAnsi="Arial" w:cs="Arial"/>
                <w:color w:val="000000"/>
                <w:sz w:val="22"/>
                <w:szCs w:val="22"/>
              </w:rPr>
              <w:t xml:space="preserve">. </w:t>
            </w:r>
          </w:p>
          <w:p w14:paraId="00000050" w14:textId="77777777" w:rsidR="00D21497" w:rsidRPr="00DB7230" w:rsidRDefault="00D21497" w:rsidP="0035689D">
            <w:pPr>
              <w:pBdr>
                <w:top w:val="nil"/>
                <w:left w:val="nil"/>
                <w:bottom w:val="nil"/>
                <w:right w:val="nil"/>
                <w:between w:val="nil"/>
              </w:pBdr>
              <w:shd w:val="clear" w:color="auto" w:fill="FFFFFF"/>
              <w:rPr>
                <w:rFonts w:ascii="Arial" w:hAnsi="Arial" w:cs="Arial"/>
                <w:color w:val="000000"/>
                <w:sz w:val="22"/>
                <w:szCs w:val="22"/>
              </w:rPr>
            </w:pPr>
          </w:p>
          <w:p w14:paraId="00000051" w14:textId="5AC46279" w:rsidR="00D21497" w:rsidRPr="00DB7230" w:rsidRDefault="00D21497" w:rsidP="0035689D">
            <w:pPr>
              <w:pBdr>
                <w:top w:val="nil"/>
                <w:left w:val="nil"/>
                <w:bottom w:val="nil"/>
                <w:right w:val="nil"/>
                <w:between w:val="nil"/>
              </w:pBdr>
              <w:shd w:val="clear" w:color="auto" w:fill="FFFFFF"/>
              <w:rPr>
                <w:rFonts w:ascii="Arial" w:hAnsi="Arial" w:cs="Arial"/>
                <w:color w:val="000000"/>
                <w:sz w:val="22"/>
                <w:szCs w:val="22"/>
              </w:rPr>
            </w:pPr>
            <w:r w:rsidRPr="00DB7230">
              <w:rPr>
                <w:rFonts w:ascii="Arial" w:hAnsi="Arial" w:cs="Arial"/>
                <w:color w:val="000000"/>
                <w:sz w:val="22"/>
                <w:szCs w:val="22"/>
              </w:rPr>
              <w:t xml:space="preserve">Any allocation of revenue from the sale or other disposition of Combination Products, or any allocation of the costs of manufacture, shall be done in good faith, and </w:t>
            </w:r>
            <w:r w:rsidR="00AE7FD5" w:rsidRPr="00DB7230">
              <w:rPr>
                <w:rFonts w:ascii="Arial" w:hAnsi="Arial" w:cs="Arial"/>
                <w:color w:val="000000"/>
                <w:sz w:val="22"/>
                <w:szCs w:val="22"/>
              </w:rPr>
              <w:t>will</w:t>
            </w:r>
            <w:r w:rsidRPr="00DB7230">
              <w:rPr>
                <w:rFonts w:ascii="Arial" w:hAnsi="Arial" w:cs="Arial"/>
                <w:color w:val="000000"/>
                <w:sz w:val="22"/>
                <w:szCs w:val="22"/>
              </w:rPr>
              <w:t xml:space="preserve"> take into consideration revenue recognition guidance under GAAP which is applicable to multiple-deliverable revenue arrangements.</w:t>
            </w:r>
          </w:p>
          <w:p w14:paraId="00000052" w14:textId="77777777" w:rsidR="00D21497" w:rsidRPr="00DB7230" w:rsidRDefault="00D21497" w:rsidP="0035689D">
            <w:pPr>
              <w:pBdr>
                <w:top w:val="nil"/>
                <w:left w:val="nil"/>
                <w:bottom w:val="nil"/>
                <w:right w:val="nil"/>
                <w:between w:val="nil"/>
              </w:pBdr>
              <w:shd w:val="clear" w:color="auto" w:fill="FFFFFF"/>
              <w:rPr>
                <w:rFonts w:ascii="Arial" w:hAnsi="Arial" w:cs="Arial"/>
                <w:sz w:val="22"/>
                <w:szCs w:val="22"/>
              </w:rPr>
            </w:pPr>
          </w:p>
          <w:p w14:paraId="00000053" w14:textId="77777777" w:rsidR="00D21497" w:rsidRPr="00DB7230" w:rsidRDefault="00D21497" w:rsidP="00F04CF4">
            <w:pPr>
              <w:pStyle w:val="Heading4"/>
              <w:tabs>
                <w:tab w:val="left" w:pos="720"/>
              </w:tabs>
              <w:spacing w:before="0"/>
              <w:rPr>
                <w:rFonts w:ascii="Arial" w:eastAsia="Times New Roman" w:hAnsi="Arial" w:cs="Arial"/>
                <w:i w:val="0"/>
                <w:color w:val="000000"/>
                <w:sz w:val="22"/>
                <w:szCs w:val="22"/>
              </w:rPr>
            </w:pPr>
            <w:r w:rsidRPr="00DB7230">
              <w:rPr>
                <w:rFonts w:ascii="Arial" w:eastAsia="Times New Roman" w:hAnsi="Arial" w:cs="Arial"/>
                <w:i w:val="0"/>
                <w:color w:val="000000"/>
                <w:sz w:val="22"/>
                <w:szCs w:val="22"/>
              </w:rPr>
              <w:t xml:space="preserve">All allocations of discounts, allowance, credits, </w:t>
            </w:r>
            <w:proofErr w:type="gramStart"/>
            <w:r w:rsidRPr="00DB7230">
              <w:rPr>
                <w:rFonts w:ascii="Arial" w:eastAsia="Times New Roman" w:hAnsi="Arial" w:cs="Arial"/>
                <w:i w:val="0"/>
                <w:color w:val="000000"/>
                <w:sz w:val="22"/>
                <w:szCs w:val="22"/>
              </w:rPr>
              <w:t>rebates</w:t>
            </w:r>
            <w:proofErr w:type="gramEnd"/>
            <w:r w:rsidRPr="00DB7230">
              <w:rPr>
                <w:rFonts w:ascii="Arial" w:eastAsia="Times New Roman" w:hAnsi="Arial" w:cs="Arial"/>
                <w:i w:val="0"/>
                <w:color w:val="000000"/>
                <w:sz w:val="22"/>
                <w:szCs w:val="22"/>
              </w:rPr>
              <w:t xml:space="preserve"> and other deductions must be reasonable.  Any amounts received or invoiced by a Selling Party will be accounted for only once. For purposes of determining Net Sales, a Licensed Product will be deemed to be sold when recorded as a sale by </w:t>
            </w:r>
            <w:proofErr w:type="gramStart"/>
            <w:r w:rsidRPr="00DB7230">
              <w:rPr>
                <w:rFonts w:ascii="Arial" w:eastAsia="Times New Roman" w:hAnsi="Arial" w:cs="Arial"/>
                <w:i w:val="0"/>
                <w:color w:val="000000"/>
                <w:sz w:val="22"/>
                <w:szCs w:val="22"/>
              </w:rPr>
              <w:t>Selling</w:t>
            </w:r>
            <w:proofErr w:type="gramEnd"/>
            <w:r w:rsidRPr="00DB7230">
              <w:rPr>
                <w:rFonts w:ascii="Arial" w:eastAsia="Times New Roman" w:hAnsi="Arial" w:cs="Arial"/>
                <w:i w:val="0"/>
                <w:color w:val="000000"/>
                <w:sz w:val="22"/>
                <w:szCs w:val="22"/>
              </w:rPr>
              <w:t xml:space="preserve"> Party in accordance with GAAP. </w:t>
            </w:r>
          </w:p>
          <w:p w14:paraId="00000054" w14:textId="77777777" w:rsidR="00D21497" w:rsidRPr="00DB7230" w:rsidRDefault="00D21497" w:rsidP="00F04CF4">
            <w:pPr>
              <w:pStyle w:val="Heading4"/>
              <w:tabs>
                <w:tab w:val="left" w:pos="720"/>
              </w:tabs>
              <w:spacing w:before="0"/>
              <w:rPr>
                <w:rFonts w:ascii="Arial" w:eastAsia="Times New Roman" w:hAnsi="Arial" w:cs="Arial"/>
                <w:sz w:val="22"/>
                <w:szCs w:val="22"/>
              </w:rPr>
            </w:pPr>
          </w:p>
          <w:p w14:paraId="00000055" w14:textId="59DA7379" w:rsidR="00D21497" w:rsidRPr="00DB7230" w:rsidRDefault="00D21497" w:rsidP="0035689D">
            <w:pPr>
              <w:rPr>
                <w:rFonts w:ascii="Arial" w:hAnsi="Arial" w:cs="Arial"/>
                <w:sz w:val="22"/>
                <w:szCs w:val="22"/>
              </w:rPr>
            </w:pPr>
            <w:r w:rsidRPr="00DB7230">
              <w:rPr>
                <w:rFonts w:ascii="Arial" w:hAnsi="Arial" w:cs="Arial"/>
                <w:sz w:val="22"/>
                <w:szCs w:val="22"/>
              </w:rPr>
              <w:t xml:space="preserve">Amounts received or invoiced by </w:t>
            </w:r>
            <w:r w:rsidR="00EB6195">
              <w:rPr>
                <w:rFonts w:ascii="Arial" w:hAnsi="Arial" w:cs="Arial"/>
                <w:sz w:val="22"/>
                <w:szCs w:val="22"/>
              </w:rPr>
              <w:t xml:space="preserve">a Selling Party </w:t>
            </w:r>
            <w:r w:rsidRPr="00DB7230">
              <w:rPr>
                <w:rFonts w:ascii="Arial" w:hAnsi="Arial" w:cs="Arial"/>
                <w:sz w:val="22"/>
                <w:szCs w:val="22"/>
              </w:rPr>
              <w:t xml:space="preserve">for the sale of a Licensed Product among </w:t>
            </w:r>
            <w:r w:rsidR="00EB6195">
              <w:rPr>
                <w:rFonts w:ascii="Arial" w:hAnsi="Arial" w:cs="Arial"/>
                <w:sz w:val="22"/>
                <w:szCs w:val="22"/>
              </w:rPr>
              <w:t xml:space="preserve">Selling Parties </w:t>
            </w:r>
            <w:r w:rsidRPr="00DB7230">
              <w:rPr>
                <w:rFonts w:ascii="Arial" w:hAnsi="Arial" w:cs="Arial"/>
                <w:sz w:val="22"/>
                <w:szCs w:val="22"/>
              </w:rPr>
              <w:t xml:space="preserve">will not be included in the computation of Net </w:t>
            </w:r>
            <w:proofErr w:type="gramStart"/>
            <w:r w:rsidRPr="00DB7230">
              <w:rPr>
                <w:rFonts w:ascii="Arial" w:hAnsi="Arial" w:cs="Arial"/>
                <w:sz w:val="22"/>
                <w:szCs w:val="22"/>
              </w:rPr>
              <w:t>Sales, unless</w:t>
            </w:r>
            <w:proofErr w:type="gramEnd"/>
            <w:r w:rsidRPr="00DB7230">
              <w:rPr>
                <w:rFonts w:ascii="Arial" w:hAnsi="Arial" w:cs="Arial"/>
                <w:sz w:val="22"/>
                <w:szCs w:val="22"/>
              </w:rPr>
              <w:t xml:space="preserve"> the purchasing entity is the end-user of such Licensed Product. </w:t>
            </w:r>
          </w:p>
          <w:p w14:paraId="00000056" w14:textId="77777777" w:rsidR="00D21497" w:rsidRPr="00DB7230" w:rsidRDefault="00D21497" w:rsidP="0035689D">
            <w:pPr>
              <w:rPr>
                <w:rFonts w:ascii="Arial" w:hAnsi="Arial" w:cs="Arial"/>
                <w:sz w:val="22"/>
                <w:szCs w:val="22"/>
              </w:rPr>
            </w:pPr>
          </w:p>
          <w:p w14:paraId="00000057" w14:textId="3790DB8B" w:rsidR="00D21497" w:rsidRPr="00DB7230" w:rsidRDefault="00D21497" w:rsidP="0035689D">
            <w:pPr>
              <w:pBdr>
                <w:top w:val="nil"/>
                <w:left w:val="nil"/>
                <w:bottom w:val="nil"/>
                <w:right w:val="nil"/>
                <w:between w:val="nil"/>
              </w:pBdr>
              <w:spacing w:after="240"/>
              <w:rPr>
                <w:rFonts w:ascii="Arial" w:hAnsi="Arial" w:cs="Arial"/>
                <w:color w:val="000000"/>
                <w:sz w:val="22"/>
                <w:szCs w:val="22"/>
              </w:rPr>
            </w:pPr>
            <w:r w:rsidRPr="00DB7230">
              <w:rPr>
                <w:rFonts w:ascii="Arial" w:hAnsi="Arial" w:cs="Arial"/>
                <w:color w:val="000000"/>
                <w:sz w:val="22"/>
                <w:szCs w:val="22"/>
              </w:rPr>
              <w:t>Net Sales will exclude any Licensed Product transferred or disposed of as samples or for clinical trials or at or below costs of goods therefor for any so-called treatment investigational new drug sales, named patient sales, expanded access program, compassionate or emergency use sales or pre-license sales made for non-commercial, compassionate purpose, or any indigent program or promotional or educational purposes</w:t>
            </w:r>
            <w:r w:rsidR="00EB6195">
              <w:rPr>
                <w:rFonts w:ascii="Arial" w:hAnsi="Arial" w:cs="Arial"/>
                <w:color w:val="000000"/>
                <w:sz w:val="22"/>
                <w:szCs w:val="22"/>
              </w:rPr>
              <w:t xml:space="preserve"> (collectively, “</w:t>
            </w:r>
            <w:r w:rsidR="00EB6195" w:rsidRPr="00A45278">
              <w:rPr>
                <w:rFonts w:ascii="Arial" w:hAnsi="Arial" w:cs="Arial"/>
                <w:b/>
                <w:bCs/>
                <w:color w:val="000000"/>
                <w:sz w:val="22"/>
                <w:szCs w:val="22"/>
              </w:rPr>
              <w:t>Non-Commercial Sales</w:t>
            </w:r>
            <w:r w:rsidR="00EB6195">
              <w:rPr>
                <w:rFonts w:ascii="Arial" w:hAnsi="Arial" w:cs="Arial"/>
                <w:color w:val="000000"/>
                <w:sz w:val="22"/>
                <w:szCs w:val="22"/>
              </w:rPr>
              <w:t>”)</w:t>
            </w:r>
            <w:r w:rsidR="006B67BD" w:rsidRPr="00DB7230">
              <w:rPr>
                <w:rFonts w:ascii="Arial" w:hAnsi="Arial" w:cs="Arial"/>
                <w:color w:val="000000"/>
                <w:sz w:val="22"/>
                <w:szCs w:val="22"/>
              </w:rPr>
              <w:t xml:space="preserve">; </w:t>
            </w:r>
            <w:r w:rsidR="006B67BD" w:rsidRPr="00DB7230">
              <w:rPr>
                <w:rFonts w:ascii="Arial" w:hAnsi="Arial" w:cs="Arial"/>
                <w:sz w:val="22"/>
                <w:szCs w:val="22"/>
              </w:rPr>
              <w:t xml:space="preserve">in each case with respect to </w:t>
            </w:r>
            <w:r w:rsidR="006B67BD" w:rsidRPr="00DB7230">
              <w:rPr>
                <w:rFonts w:ascii="Arial" w:hAnsi="Arial" w:cs="Arial"/>
                <w:sz w:val="22"/>
                <w:szCs w:val="22"/>
              </w:rPr>
              <w:lastRenderedPageBreak/>
              <w:t>such Licensed Product and are reported on the royalty report for such period when such Licensed Products are so transferred or disposed of</w:t>
            </w:r>
            <w:r w:rsidRPr="00DB7230">
              <w:rPr>
                <w:rFonts w:ascii="Arial" w:hAnsi="Arial" w:cs="Arial"/>
                <w:color w:val="000000"/>
                <w:sz w:val="22"/>
                <w:szCs w:val="22"/>
              </w:rPr>
              <w:t xml:space="preserve">. </w:t>
            </w:r>
          </w:p>
          <w:p w14:paraId="00000058" w14:textId="712D5741" w:rsidR="00D21497" w:rsidRPr="00DB7230" w:rsidRDefault="00D21497" w:rsidP="0035689D">
            <w:pPr>
              <w:pBdr>
                <w:top w:val="nil"/>
                <w:left w:val="nil"/>
                <w:bottom w:val="nil"/>
                <w:right w:val="nil"/>
                <w:between w:val="nil"/>
              </w:pBdr>
              <w:spacing w:after="240"/>
              <w:rPr>
                <w:rFonts w:ascii="Arial" w:hAnsi="Arial" w:cs="Arial"/>
                <w:color w:val="000000"/>
                <w:sz w:val="22"/>
                <w:szCs w:val="22"/>
              </w:rPr>
            </w:pPr>
            <w:r w:rsidRPr="00DB7230">
              <w:rPr>
                <w:rFonts w:ascii="Arial" w:hAnsi="Arial" w:cs="Arial"/>
                <w:color w:val="000000"/>
                <w:sz w:val="22"/>
                <w:szCs w:val="22"/>
              </w:rPr>
              <w:t xml:space="preserve">Net Sales </w:t>
            </w:r>
            <w:r w:rsidR="00AE7FD5" w:rsidRPr="00DB7230">
              <w:rPr>
                <w:rFonts w:ascii="Arial" w:hAnsi="Arial" w:cs="Arial"/>
                <w:color w:val="000000"/>
                <w:sz w:val="22"/>
                <w:szCs w:val="22"/>
              </w:rPr>
              <w:t>will</w:t>
            </w:r>
            <w:r w:rsidRPr="00DB7230">
              <w:rPr>
                <w:rFonts w:ascii="Arial" w:hAnsi="Arial" w:cs="Arial"/>
                <w:color w:val="000000"/>
                <w:sz w:val="22"/>
                <w:szCs w:val="22"/>
              </w:rPr>
              <w:t xml:space="preserve"> be calculated in accordance with the standard internal policies and procedures of the Selling Party.    </w:t>
            </w:r>
          </w:p>
          <w:p w14:paraId="00000059" w14:textId="73795F8E" w:rsidR="00D21497" w:rsidRPr="00DB7230" w:rsidRDefault="00D21497" w:rsidP="00F04CF4">
            <w:pPr>
              <w:tabs>
                <w:tab w:val="left" w:pos="-720"/>
              </w:tabs>
              <w:spacing w:after="48"/>
              <w:rPr>
                <w:rFonts w:ascii="Arial" w:hAnsi="Arial" w:cs="Arial"/>
                <w:sz w:val="22"/>
                <w:szCs w:val="22"/>
              </w:rPr>
            </w:pPr>
            <w:r w:rsidRPr="00DB7230">
              <w:rPr>
                <w:rFonts w:ascii="Arial" w:hAnsi="Arial" w:cs="Arial"/>
                <w:color w:val="000000"/>
                <w:sz w:val="22"/>
                <w:szCs w:val="22"/>
              </w:rPr>
              <w:t xml:space="preserve">For purposes of calculating Net Sales, all Net Sales shall be converted into </w:t>
            </w:r>
            <w:r w:rsidR="00293296" w:rsidRPr="00DB7230">
              <w:rPr>
                <w:rFonts w:ascii="Arial" w:hAnsi="Arial" w:cs="Arial"/>
                <w:color w:val="000000"/>
                <w:sz w:val="22"/>
                <w:szCs w:val="22"/>
              </w:rPr>
              <w:t>U.S.</w:t>
            </w:r>
            <w:r w:rsidRPr="00DB7230">
              <w:rPr>
                <w:rFonts w:ascii="Arial" w:hAnsi="Arial" w:cs="Arial"/>
                <w:color w:val="000000"/>
                <w:sz w:val="22"/>
                <w:szCs w:val="22"/>
              </w:rPr>
              <w:t xml:space="preserve"> dollars.</w:t>
            </w:r>
          </w:p>
        </w:tc>
      </w:tr>
      <w:tr w:rsidR="00D21497" w:rsidRPr="00DB7230" w14:paraId="42B4810C" w14:textId="77777777" w:rsidTr="6C4217BD">
        <w:trPr>
          <w:trHeight w:val="249"/>
        </w:trPr>
        <w:tc>
          <w:tcPr>
            <w:tcW w:w="2047" w:type="dxa"/>
          </w:tcPr>
          <w:p w14:paraId="0000005A" w14:textId="3814C83E" w:rsidR="00D21497" w:rsidRPr="00DB7230" w:rsidRDefault="008B10A7" w:rsidP="00D21497">
            <w:pPr>
              <w:tabs>
                <w:tab w:val="left" w:pos="-720"/>
              </w:tabs>
              <w:spacing w:before="48" w:after="48"/>
              <w:rPr>
                <w:rFonts w:ascii="Arial" w:hAnsi="Arial" w:cs="Arial"/>
                <w:b/>
                <w:sz w:val="22"/>
                <w:szCs w:val="22"/>
              </w:rPr>
            </w:pPr>
            <w:r w:rsidRPr="00DB7230">
              <w:rPr>
                <w:rFonts w:ascii="Arial" w:hAnsi="Arial" w:cs="Arial"/>
                <w:b/>
                <w:sz w:val="22"/>
                <w:szCs w:val="22"/>
              </w:rPr>
              <w:lastRenderedPageBreak/>
              <w:t>“</w:t>
            </w:r>
            <w:r w:rsidR="00D21497" w:rsidRPr="00DB7230">
              <w:rPr>
                <w:rFonts w:ascii="Arial" w:hAnsi="Arial" w:cs="Arial"/>
                <w:b/>
                <w:sz w:val="22"/>
                <w:szCs w:val="22"/>
              </w:rPr>
              <w:t>Royalty Term</w:t>
            </w:r>
            <w:r w:rsidRPr="00DB7230">
              <w:rPr>
                <w:rFonts w:ascii="Arial" w:hAnsi="Arial" w:cs="Arial"/>
                <w:b/>
                <w:sz w:val="22"/>
                <w:szCs w:val="22"/>
              </w:rPr>
              <w:t>”</w:t>
            </w:r>
          </w:p>
        </w:tc>
        <w:tc>
          <w:tcPr>
            <w:tcW w:w="12600" w:type="dxa"/>
          </w:tcPr>
          <w:p w14:paraId="0000005B" w14:textId="7A340E35" w:rsidR="00D21497" w:rsidRPr="00DB7230" w:rsidRDefault="00D12D22" w:rsidP="00F04CF4">
            <w:pPr>
              <w:tabs>
                <w:tab w:val="left" w:pos="-720"/>
              </w:tabs>
              <w:spacing w:after="48"/>
              <w:rPr>
                <w:rFonts w:ascii="Arial" w:hAnsi="Arial" w:cs="Arial"/>
                <w:sz w:val="22"/>
                <w:szCs w:val="22"/>
              </w:rPr>
            </w:pPr>
            <w:r w:rsidRPr="00DB7230">
              <w:rPr>
                <w:rFonts w:ascii="Arial" w:hAnsi="Arial" w:cs="Arial"/>
                <w:sz w:val="22"/>
                <w:szCs w:val="22"/>
              </w:rPr>
              <w:t>mean</w:t>
            </w:r>
            <w:r w:rsidR="00CD0CD5" w:rsidRPr="00DB7230">
              <w:rPr>
                <w:rFonts w:ascii="Arial" w:hAnsi="Arial" w:cs="Arial"/>
                <w:sz w:val="22"/>
                <w:szCs w:val="22"/>
              </w:rPr>
              <w:t>s,</w:t>
            </w:r>
            <w:r w:rsidRPr="00DB7230">
              <w:rPr>
                <w:rFonts w:ascii="Arial" w:hAnsi="Arial" w:cs="Arial"/>
                <w:sz w:val="22"/>
                <w:szCs w:val="22"/>
              </w:rPr>
              <w:t xml:space="preserve"> o</w:t>
            </w:r>
            <w:r w:rsidR="00D21497" w:rsidRPr="00DB7230">
              <w:rPr>
                <w:rFonts w:ascii="Arial" w:hAnsi="Arial" w:cs="Arial"/>
                <w:sz w:val="22"/>
                <w:szCs w:val="22"/>
              </w:rPr>
              <w:t>n a Licensed Product-by-Licensed Product and country-by-country</w:t>
            </w:r>
            <w:r w:rsidR="00DD6FC1" w:rsidRPr="00DB7230">
              <w:rPr>
                <w:rFonts w:ascii="Arial" w:hAnsi="Arial" w:cs="Arial"/>
                <w:sz w:val="22"/>
                <w:szCs w:val="22"/>
              </w:rPr>
              <w:t xml:space="preserve"> </w:t>
            </w:r>
            <w:r w:rsidR="00D21497" w:rsidRPr="00DB7230">
              <w:rPr>
                <w:rFonts w:ascii="Arial" w:hAnsi="Arial" w:cs="Arial"/>
                <w:sz w:val="22"/>
                <w:szCs w:val="22"/>
              </w:rPr>
              <w:t xml:space="preserve">basis, the royalty term </w:t>
            </w:r>
            <w:r w:rsidR="00AE7FD5" w:rsidRPr="00DB7230">
              <w:rPr>
                <w:rFonts w:ascii="Arial" w:hAnsi="Arial" w:cs="Arial"/>
                <w:sz w:val="22"/>
                <w:szCs w:val="22"/>
              </w:rPr>
              <w:t>will</w:t>
            </w:r>
            <w:r w:rsidR="00D21497" w:rsidRPr="00DB7230">
              <w:rPr>
                <w:rFonts w:ascii="Arial" w:hAnsi="Arial" w:cs="Arial"/>
                <w:sz w:val="22"/>
                <w:szCs w:val="22"/>
              </w:rPr>
              <w:t xml:space="preserve"> commence on the First Commercial Sale of a Licensed Product in any country and continue until the latest of (a) the date on which such Licensed Product is no longer Covered by a Valid Claim in the country in which the manufacture or sale occurs; (b) the expiration of Regulatory Exclusivity for such Licensed Product in the country in which the sale occurs;</w:t>
            </w:r>
            <w:r w:rsidR="00B42FE6" w:rsidRPr="00DB7230">
              <w:rPr>
                <w:rStyle w:val="FootnoteReference"/>
                <w:rFonts w:ascii="Arial" w:hAnsi="Arial" w:cs="Arial"/>
                <w:sz w:val="22"/>
                <w:szCs w:val="22"/>
              </w:rPr>
              <w:footnoteReference w:id="21"/>
            </w:r>
            <w:r w:rsidR="00D21497" w:rsidRPr="00DB7230">
              <w:rPr>
                <w:rFonts w:ascii="Arial" w:hAnsi="Arial" w:cs="Arial"/>
                <w:sz w:val="22"/>
                <w:szCs w:val="22"/>
              </w:rPr>
              <w:t xml:space="preserve"> and (c) the </w:t>
            </w:r>
            <w:r w:rsidR="00D21497" w:rsidRPr="00DB7230">
              <w:rPr>
                <w:rFonts w:ascii="Arial" w:hAnsi="Arial" w:cs="Arial"/>
                <w:color w:val="000000" w:themeColor="text1"/>
                <w:sz w:val="22"/>
                <w:szCs w:val="22"/>
              </w:rPr>
              <w:t>[x]</w:t>
            </w:r>
            <w:r w:rsidR="00D21497" w:rsidRPr="00DB7230">
              <w:rPr>
                <w:rFonts w:ascii="Arial" w:hAnsi="Arial" w:cs="Arial"/>
                <w:sz w:val="22"/>
                <w:szCs w:val="22"/>
              </w:rPr>
              <w:t xml:space="preserve"> year anniversary of the First Commercial Sale of such Licensed Product in the country in which the sale occurs.  </w:t>
            </w:r>
          </w:p>
        </w:tc>
      </w:tr>
      <w:tr w:rsidR="00D21497" w:rsidRPr="00DB7230" w14:paraId="7EE702D9" w14:textId="77777777" w:rsidTr="6C4217BD">
        <w:trPr>
          <w:trHeight w:val="249"/>
        </w:trPr>
        <w:tc>
          <w:tcPr>
            <w:tcW w:w="2047" w:type="dxa"/>
          </w:tcPr>
          <w:p w14:paraId="0000005C" w14:textId="77777777" w:rsidR="00D21497" w:rsidRPr="00DB7230" w:rsidRDefault="00D21497" w:rsidP="00D21497">
            <w:pPr>
              <w:tabs>
                <w:tab w:val="left" w:pos="-720"/>
              </w:tabs>
              <w:spacing w:before="48" w:after="48"/>
              <w:rPr>
                <w:rFonts w:ascii="Arial" w:hAnsi="Arial" w:cs="Arial"/>
                <w:b/>
                <w:sz w:val="22"/>
                <w:szCs w:val="22"/>
              </w:rPr>
            </w:pPr>
            <w:r w:rsidRPr="00DB7230">
              <w:rPr>
                <w:rFonts w:ascii="Arial" w:hAnsi="Arial" w:cs="Arial"/>
                <w:b/>
                <w:sz w:val="22"/>
                <w:szCs w:val="22"/>
              </w:rPr>
              <w:t>Minimum Annual Royalty</w:t>
            </w:r>
          </w:p>
        </w:tc>
        <w:tc>
          <w:tcPr>
            <w:tcW w:w="12600" w:type="dxa"/>
          </w:tcPr>
          <w:p w14:paraId="0000005D" w14:textId="70BD61AA" w:rsidR="00D21497" w:rsidRPr="00DB7230" w:rsidRDefault="00D21497" w:rsidP="00D21497">
            <w:pPr>
              <w:rPr>
                <w:rFonts w:ascii="Arial" w:hAnsi="Arial" w:cs="Arial"/>
                <w:sz w:val="22"/>
                <w:szCs w:val="22"/>
              </w:rPr>
            </w:pPr>
            <w:proofErr w:type="gramStart"/>
            <w:r w:rsidRPr="00DB7230">
              <w:rPr>
                <w:rFonts w:ascii="Arial" w:hAnsi="Arial" w:cs="Arial"/>
                <w:color w:val="000000"/>
                <w:sz w:val="22"/>
                <w:szCs w:val="22"/>
              </w:rPr>
              <w:t>Licensee</w:t>
            </w:r>
            <w:proofErr w:type="gramEnd"/>
            <w:r w:rsidRPr="00DB7230">
              <w:rPr>
                <w:rFonts w:ascii="Arial" w:hAnsi="Arial" w:cs="Arial"/>
                <w:color w:val="000000"/>
                <w:sz w:val="22"/>
                <w:szCs w:val="22"/>
              </w:rPr>
              <w:t xml:space="preserve"> shall pay Licensor Minimum Annual Royalties</w:t>
            </w:r>
            <w:r w:rsidRPr="00DB7230">
              <w:rPr>
                <w:rFonts w:ascii="Arial" w:hAnsi="Arial" w:cs="Arial"/>
                <w:b/>
                <w:color w:val="000000"/>
                <w:sz w:val="22"/>
                <w:szCs w:val="22"/>
              </w:rPr>
              <w:t xml:space="preserve"> </w:t>
            </w:r>
            <w:r w:rsidRPr="00DB7230">
              <w:rPr>
                <w:rFonts w:ascii="Arial" w:hAnsi="Arial" w:cs="Arial"/>
                <w:color w:val="000000"/>
                <w:sz w:val="22"/>
                <w:szCs w:val="22"/>
              </w:rPr>
              <w:t xml:space="preserve">as set forth below. Earned royalties paid during a given CY may be used as credit against the Minimum Annual Royalty due for that same </w:t>
            </w:r>
            <w:proofErr w:type="gramStart"/>
            <w:r w:rsidRPr="00DB7230">
              <w:rPr>
                <w:rFonts w:ascii="Arial" w:hAnsi="Arial" w:cs="Arial"/>
                <w:color w:val="000000"/>
                <w:sz w:val="22"/>
                <w:szCs w:val="22"/>
              </w:rPr>
              <w:t>CY, but</w:t>
            </w:r>
            <w:proofErr w:type="gramEnd"/>
            <w:r w:rsidRPr="00DB7230">
              <w:rPr>
                <w:rFonts w:ascii="Arial" w:hAnsi="Arial" w:cs="Arial"/>
                <w:color w:val="000000"/>
                <w:sz w:val="22"/>
                <w:szCs w:val="22"/>
              </w:rPr>
              <w:t xml:space="preserve"> cannot be used as credit against a Minimum Annual Royalty obligation owed for any other CY. </w:t>
            </w:r>
          </w:p>
          <w:p w14:paraId="0000005E" w14:textId="1054021D" w:rsidR="00D21497" w:rsidRPr="00DB7230" w:rsidRDefault="00D21497" w:rsidP="00D21497">
            <w:pPr>
              <w:numPr>
                <w:ilvl w:val="0"/>
                <w:numId w:val="3"/>
              </w:numPr>
              <w:pBdr>
                <w:top w:val="nil"/>
                <w:left w:val="nil"/>
                <w:bottom w:val="nil"/>
                <w:right w:val="nil"/>
                <w:between w:val="nil"/>
              </w:pBdr>
              <w:rPr>
                <w:rFonts w:ascii="Arial" w:hAnsi="Arial" w:cs="Arial"/>
                <w:sz w:val="22"/>
                <w:szCs w:val="22"/>
              </w:rPr>
            </w:pPr>
            <w:r w:rsidRPr="00DB7230">
              <w:rPr>
                <w:rFonts w:ascii="Arial" w:hAnsi="Arial" w:cs="Arial"/>
                <w:color w:val="000000"/>
                <w:sz w:val="22"/>
                <w:szCs w:val="22"/>
              </w:rPr>
              <w:t>[First full CY] after Effective Date: [$______]</w:t>
            </w:r>
          </w:p>
          <w:p w14:paraId="0000005F" w14:textId="77777777" w:rsidR="00D21497" w:rsidRPr="00DB7230" w:rsidRDefault="00D21497" w:rsidP="00D21497">
            <w:pPr>
              <w:numPr>
                <w:ilvl w:val="0"/>
                <w:numId w:val="3"/>
              </w:numPr>
              <w:pBdr>
                <w:top w:val="nil"/>
                <w:left w:val="nil"/>
                <w:bottom w:val="nil"/>
                <w:right w:val="nil"/>
                <w:between w:val="nil"/>
              </w:pBdr>
              <w:rPr>
                <w:rFonts w:ascii="Arial" w:hAnsi="Arial" w:cs="Arial"/>
                <w:sz w:val="22"/>
                <w:szCs w:val="22"/>
              </w:rPr>
            </w:pPr>
            <w:r w:rsidRPr="00DB7230">
              <w:rPr>
                <w:rFonts w:ascii="Arial" w:hAnsi="Arial" w:cs="Arial"/>
                <w:color w:val="000000"/>
                <w:sz w:val="22"/>
                <w:szCs w:val="22"/>
              </w:rPr>
              <w:t>[Second through fourth full CYs after Effective Date]: [$____]</w:t>
            </w:r>
          </w:p>
          <w:p w14:paraId="00000060" w14:textId="77777777" w:rsidR="00D21497" w:rsidRPr="00DB7230" w:rsidRDefault="00D21497" w:rsidP="00D21497">
            <w:pPr>
              <w:numPr>
                <w:ilvl w:val="0"/>
                <w:numId w:val="3"/>
              </w:numPr>
              <w:pBdr>
                <w:top w:val="nil"/>
                <w:left w:val="nil"/>
                <w:bottom w:val="nil"/>
                <w:right w:val="nil"/>
                <w:between w:val="nil"/>
              </w:pBdr>
              <w:rPr>
                <w:rFonts w:ascii="Arial" w:hAnsi="Arial" w:cs="Arial"/>
                <w:color w:val="000000"/>
                <w:sz w:val="22"/>
                <w:szCs w:val="22"/>
              </w:rPr>
            </w:pPr>
            <w:r w:rsidRPr="00DB7230">
              <w:rPr>
                <w:rFonts w:ascii="Arial" w:hAnsi="Arial" w:cs="Arial"/>
                <w:color w:val="000000"/>
                <w:sz w:val="22"/>
                <w:szCs w:val="22"/>
              </w:rPr>
              <w:t>[Fifth full CY after Effective Date and each CY thereafter until First Commercial Sale]</w:t>
            </w:r>
            <w:proofErr w:type="gramStart"/>
            <w:r w:rsidRPr="00DB7230">
              <w:rPr>
                <w:rFonts w:ascii="Arial" w:hAnsi="Arial" w:cs="Arial"/>
                <w:color w:val="000000"/>
                <w:sz w:val="22"/>
                <w:szCs w:val="22"/>
              </w:rPr>
              <w:t>:  [</w:t>
            </w:r>
            <w:proofErr w:type="gramEnd"/>
            <w:r w:rsidRPr="00DB7230">
              <w:rPr>
                <w:rFonts w:ascii="Arial" w:hAnsi="Arial" w:cs="Arial"/>
                <w:color w:val="000000"/>
                <w:sz w:val="22"/>
                <w:szCs w:val="22"/>
              </w:rPr>
              <w:t>$______]</w:t>
            </w:r>
          </w:p>
          <w:p w14:paraId="00000061" w14:textId="77777777" w:rsidR="00D21497" w:rsidRPr="00DB7230" w:rsidRDefault="00D21497" w:rsidP="00D21497">
            <w:pPr>
              <w:numPr>
                <w:ilvl w:val="0"/>
                <w:numId w:val="3"/>
              </w:numPr>
              <w:pBdr>
                <w:top w:val="nil"/>
                <w:left w:val="nil"/>
                <w:bottom w:val="nil"/>
                <w:right w:val="nil"/>
                <w:between w:val="nil"/>
              </w:pBdr>
              <w:tabs>
                <w:tab w:val="left" w:pos="-720"/>
              </w:tabs>
              <w:spacing w:after="48"/>
              <w:rPr>
                <w:rFonts w:ascii="Arial" w:hAnsi="Arial" w:cs="Arial"/>
                <w:sz w:val="22"/>
                <w:szCs w:val="22"/>
              </w:rPr>
            </w:pPr>
            <w:r w:rsidRPr="00DB7230">
              <w:rPr>
                <w:rFonts w:ascii="Arial" w:hAnsi="Arial" w:cs="Arial"/>
                <w:color w:val="000000"/>
                <w:sz w:val="22"/>
                <w:szCs w:val="22"/>
              </w:rPr>
              <w:t>[First CY after First Commercial Sale and each CY thereafter]: [$______)]</w:t>
            </w:r>
            <w:r w:rsidRPr="00DB7230">
              <w:rPr>
                <w:rFonts w:ascii="Arial" w:hAnsi="Arial" w:cs="Arial"/>
                <w:color w:val="000000"/>
                <w:sz w:val="22"/>
                <w:szCs w:val="22"/>
                <w:vertAlign w:val="superscript"/>
              </w:rPr>
              <w:footnoteReference w:id="22"/>
            </w:r>
          </w:p>
        </w:tc>
      </w:tr>
      <w:tr w:rsidR="00D21497" w:rsidRPr="00DB7230" w14:paraId="1733588F" w14:textId="77777777" w:rsidTr="6C4217BD">
        <w:trPr>
          <w:trHeight w:val="249"/>
        </w:trPr>
        <w:tc>
          <w:tcPr>
            <w:tcW w:w="2047" w:type="dxa"/>
          </w:tcPr>
          <w:p w14:paraId="0FDD9545" w14:textId="4A24F5E9" w:rsidR="00D21497" w:rsidRPr="00DB7230" w:rsidRDefault="00D21497" w:rsidP="00D21497">
            <w:pPr>
              <w:rPr>
                <w:rFonts w:ascii="Arial" w:hAnsi="Arial" w:cs="Arial"/>
                <w:b/>
                <w:bCs/>
                <w:sz w:val="22"/>
                <w:szCs w:val="22"/>
              </w:rPr>
            </w:pPr>
            <w:r w:rsidRPr="00DB7230">
              <w:rPr>
                <w:rFonts w:ascii="Arial" w:hAnsi="Arial" w:cs="Arial"/>
                <w:b/>
                <w:bCs/>
                <w:sz w:val="22"/>
                <w:szCs w:val="22"/>
              </w:rPr>
              <w:t>Royalty Stacking</w:t>
            </w:r>
            <w:r w:rsidR="00817408" w:rsidRPr="00DB7230">
              <w:rPr>
                <w:rStyle w:val="FootnoteReference"/>
                <w:rFonts w:ascii="Arial" w:hAnsi="Arial" w:cs="Arial"/>
                <w:b/>
                <w:bCs/>
                <w:sz w:val="22"/>
                <w:szCs w:val="22"/>
              </w:rPr>
              <w:footnoteReference w:id="23"/>
            </w:r>
          </w:p>
        </w:tc>
        <w:tc>
          <w:tcPr>
            <w:tcW w:w="12600" w:type="dxa"/>
          </w:tcPr>
          <w:p w14:paraId="4ED512CD" w14:textId="2C8CC5DF" w:rsidR="00D21497" w:rsidRPr="00DB7230" w:rsidRDefault="00000000" w:rsidP="00D21497">
            <w:pPr>
              <w:widowControl w:val="0"/>
              <w:tabs>
                <w:tab w:val="left" w:pos="-1440"/>
              </w:tabs>
              <w:spacing w:after="120"/>
              <w:rPr>
                <w:rFonts w:ascii="Arial" w:hAnsi="Arial" w:cs="Arial"/>
                <w:color w:val="000000" w:themeColor="text1"/>
                <w:sz w:val="22"/>
                <w:szCs w:val="22"/>
              </w:rPr>
            </w:pPr>
            <w:hyperlink r:id="rId14" w:history="1">
              <w:r w:rsidR="00D21497" w:rsidRPr="00DB7230">
                <w:rPr>
                  <w:rStyle w:val="Hyperlink"/>
                  <w:rFonts w:ascii="Arial" w:hAnsi="Arial" w:cs="Arial"/>
                  <w:color w:val="000000" w:themeColor="text1"/>
                  <w:sz w:val="22"/>
                  <w:szCs w:val="22"/>
                  <w:u w:val="none"/>
                </w:rPr>
                <w:t>Licensee</w:t>
              </w:r>
            </w:hyperlink>
            <w:r w:rsidR="00D21497" w:rsidRPr="00DB7230">
              <w:rPr>
                <w:rStyle w:val="Strong"/>
                <w:rFonts w:ascii="Arial" w:hAnsi="Arial" w:cs="Arial"/>
                <w:b w:val="0"/>
                <w:bCs w:val="0"/>
                <w:color w:val="000000" w:themeColor="text1"/>
                <w:sz w:val="22"/>
                <w:szCs w:val="22"/>
                <w:shd w:val="clear" w:color="auto" w:fill="FFFFFF"/>
              </w:rPr>
              <w:t xml:space="preserve"> will</w:t>
            </w:r>
            <w:r w:rsidR="00D21497" w:rsidRPr="00DB7230">
              <w:rPr>
                <w:rFonts w:ascii="Arial" w:hAnsi="Arial" w:cs="Arial"/>
                <w:color w:val="000000" w:themeColor="text1"/>
                <w:sz w:val="22"/>
                <w:szCs w:val="22"/>
                <w:shd w:val="clear" w:color="auto" w:fill="FFFFFF"/>
              </w:rPr>
              <w:t xml:space="preserve"> be entitled to deduct, from the cumulative royalties otherwise due Licensor in respect of </w:t>
            </w:r>
            <w:r w:rsidR="00C94892" w:rsidRPr="00DB7230">
              <w:rPr>
                <w:rFonts w:ascii="Arial" w:hAnsi="Arial" w:cs="Arial"/>
                <w:color w:val="000000" w:themeColor="text1"/>
                <w:sz w:val="22"/>
                <w:szCs w:val="22"/>
                <w:shd w:val="clear" w:color="auto" w:fill="FFFFFF"/>
              </w:rPr>
              <w:t>N</w:t>
            </w:r>
            <w:r w:rsidR="00D21497" w:rsidRPr="00DB7230">
              <w:rPr>
                <w:rFonts w:ascii="Arial" w:hAnsi="Arial" w:cs="Arial"/>
                <w:color w:val="000000" w:themeColor="text1"/>
                <w:sz w:val="22"/>
                <w:szCs w:val="22"/>
                <w:shd w:val="clear" w:color="auto" w:fill="FFFFFF"/>
              </w:rPr>
              <w:t xml:space="preserve">et </w:t>
            </w:r>
            <w:r w:rsidR="00C94892" w:rsidRPr="00DB7230">
              <w:rPr>
                <w:rFonts w:ascii="Arial" w:hAnsi="Arial" w:cs="Arial"/>
                <w:color w:val="000000" w:themeColor="text1"/>
                <w:sz w:val="22"/>
                <w:szCs w:val="22"/>
                <w:shd w:val="clear" w:color="auto" w:fill="FFFFFF"/>
              </w:rPr>
              <w:t>S</w:t>
            </w:r>
            <w:r w:rsidR="00D21497" w:rsidRPr="00DB7230">
              <w:rPr>
                <w:rFonts w:ascii="Arial" w:hAnsi="Arial" w:cs="Arial"/>
                <w:color w:val="000000" w:themeColor="text1"/>
                <w:sz w:val="22"/>
                <w:szCs w:val="22"/>
                <w:shd w:val="clear" w:color="auto" w:fill="FFFFFF"/>
              </w:rPr>
              <w:t xml:space="preserve">ales of Licensed Products, </w:t>
            </w:r>
            <w:r w:rsidR="00CC7597" w:rsidRPr="00DB7230">
              <w:rPr>
                <w:rFonts w:ascii="Arial" w:hAnsi="Arial" w:cs="Arial"/>
                <w:color w:val="000000" w:themeColor="text1"/>
                <w:sz w:val="22"/>
                <w:szCs w:val="22"/>
                <w:shd w:val="clear" w:color="auto" w:fill="FFFFFF"/>
              </w:rPr>
              <w:t>[X</w:t>
            </w:r>
            <w:r w:rsidR="00D21497" w:rsidRPr="00DB7230">
              <w:rPr>
                <w:rFonts w:ascii="Arial" w:hAnsi="Arial" w:cs="Arial"/>
                <w:color w:val="000000" w:themeColor="text1"/>
                <w:sz w:val="22"/>
                <w:szCs w:val="22"/>
                <w:shd w:val="clear" w:color="auto" w:fill="FFFFFF"/>
              </w:rPr>
              <w:t>%</w:t>
            </w:r>
            <w:r w:rsidR="00CC7597" w:rsidRPr="00DB7230">
              <w:rPr>
                <w:rFonts w:ascii="Arial" w:hAnsi="Arial" w:cs="Arial"/>
                <w:color w:val="000000" w:themeColor="text1"/>
                <w:sz w:val="22"/>
                <w:szCs w:val="22"/>
                <w:shd w:val="clear" w:color="auto" w:fill="FFFFFF"/>
              </w:rPr>
              <w:t>]</w:t>
            </w:r>
            <w:r w:rsidR="00D21497" w:rsidRPr="00DB7230">
              <w:rPr>
                <w:rStyle w:val="FootnoteReference"/>
                <w:rFonts w:ascii="Arial" w:hAnsi="Arial" w:cs="Arial"/>
                <w:color w:val="000000" w:themeColor="text1"/>
                <w:sz w:val="22"/>
                <w:szCs w:val="22"/>
                <w:shd w:val="clear" w:color="auto" w:fill="FFFFFF"/>
              </w:rPr>
              <w:footnoteReference w:id="24"/>
            </w:r>
            <w:r w:rsidR="00D21497" w:rsidRPr="00DB7230">
              <w:rPr>
                <w:rFonts w:ascii="Arial" w:hAnsi="Arial" w:cs="Arial"/>
                <w:color w:val="000000" w:themeColor="text1"/>
                <w:sz w:val="22"/>
                <w:szCs w:val="22"/>
                <w:shd w:val="clear" w:color="auto" w:fill="FFFFFF"/>
              </w:rPr>
              <w:t xml:space="preserve"> of all such royalties paid or payable by Selling Party(</w:t>
            </w:r>
            <w:proofErr w:type="spellStart"/>
            <w:r w:rsidR="00D21497" w:rsidRPr="00DB7230">
              <w:rPr>
                <w:rFonts w:ascii="Arial" w:hAnsi="Arial" w:cs="Arial"/>
                <w:color w:val="000000" w:themeColor="text1"/>
                <w:sz w:val="22"/>
                <w:szCs w:val="22"/>
                <w:shd w:val="clear" w:color="auto" w:fill="FFFFFF"/>
              </w:rPr>
              <w:t>ies</w:t>
            </w:r>
            <w:proofErr w:type="spellEnd"/>
            <w:r w:rsidR="00D21497" w:rsidRPr="00DB7230">
              <w:rPr>
                <w:rFonts w:ascii="Arial" w:hAnsi="Arial" w:cs="Arial"/>
                <w:color w:val="000000" w:themeColor="text1"/>
                <w:sz w:val="22"/>
                <w:szCs w:val="22"/>
                <w:shd w:val="clear" w:color="auto" w:fill="FFFFFF"/>
              </w:rPr>
              <w:t xml:space="preserve">) to one or more third parties in respect of such Licensed Products if, in the absence of a license, sublicense, acquisition or access to a third party’s intellectual property rights, the </w:t>
            </w:r>
            <w:r w:rsidR="00D21497" w:rsidRPr="00DB7230">
              <w:rPr>
                <w:rFonts w:ascii="Arial" w:hAnsi="Arial" w:cs="Arial"/>
                <w:color w:val="000000" w:themeColor="text1"/>
                <w:sz w:val="22"/>
                <w:szCs w:val="22"/>
              </w:rPr>
              <w:t>researching, discovering, developing, manufacturing/making, having made, using, marketing, selling, offering to sell, having sold, importing, exporting, distributing, renting, licensing to end-users or leasing</w:t>
            </w:r>
            <w:r w:rsidR="00D21497" w:rsidRPr="00DB7230">
              <w:rPr>
                <w:rFonts w:ascii="Arial" w:hAnsi="Arial" w:cs="Arial"/>
                <w:color w:val="000000" w:themeColor="text1"/>
                <w:sz w:val="22"/>
                <w:szCs w:val="22"/>
                <w:shd w:val="clear" w:color="auto" w:fill="FFFFFF"/>
              </w:rPr>
              <w:t xml:space="preserve"> of a Licensed Product would or </w:t>
            </w:r>
            <w:r w:rsidR="00C86D8B">
              <w:rPr>
                <w:rFonts w:ascii="Arial" w:hAnsi="Arial" w:cs="Arial"/>
                <w:color w:val="000000" w:themeColor="text1"/>
                <w:sz w:val="22"/>
                <w:szCs w:val="22"/>
                <w:shd w:val="clear" w:color="auto" w:fill="FFFFFF"/>
              </w:rPr>
              <w:t>may</w:t>
            </w:r>
            <w:r w:rsidR="00D21497" w:rsidRPr="00DB7230">
              <w:rPr>
                <w:rFonts w:ascii="Arial" w:hAnsi="Arial" w:cs="Arial"/>
                <w:color w:val="000000" w:themeColor="text1"/>
                <w:sz w:val="22"/>
                <w:szCs w:val="22"/>
                <w:shd w:val="clear" w:color="auto" w:fill="FFFFFF"/>
              </w:rPr>
              <w:t xml:space="preserve"> infringe or misappropriate such intellectual property rights.  In no event will such deduction reduce any royalty payments to be made by Licensee by more than </w:t>
            </w:r>
            <w:r w:rsidR="00E42D2A">
              <w:rPr>
                <w:rFonts w:ascii="Arial" w:hAnsi="Arial" w:cs="Arial"/>
                <w:color w:val="000000" w:themeColor="text1"/>
                <w:sz w:val="22"/>
                <w:szCs w:val="22"/>
                <w:shd w:val="clear" w:color="auto" w:fill="FFFFFF"/>
              </w:rPr>
              <w:t>[X</w:t>
            </w:r>
            <w:r w:rsidR="00D21497" w:rsidRPr="00DB7230">
              <w:rPr>
                <w:rFonts w:ascii="Arial" w:hAnsi="Arial" w:cs="Arial"/>
                <w:color w:val="000000" w:themeColor="text1"/>
                <w:sz w:val="22"/>
                <w:szCs w:val="22"/>
                <w:shd w:val="clear" w:color="auto" w:fill="FFFFFF"/>
              </w:rPr>
              <w:t>%</w:t>
            </w:r>
            <w:r w:rsidR="00E42D2A">
              <w:rPr>
                <w:rFonts w:ascii="Arial" w:hAnsi="Arial" w:cs="Arial"/>
                <w:color w:val="000000" w:themeColor="text1"/>
                <w:sz w:val="22"/>
                <w:szCs w:val="22"/>
                <w:shd w:val="clear" w:color="auto" w:fill="FFFFFF"/>
              </w:rPr>
              <w:t>]</w:t>
            </w:r>
            <w:r w:rsidR="00D21497" w:rsidRPr="00DB7230">
              <w:rPr>
                <w:rFonts w:ascii="Arial" w:hAnsi="Arial" w:cs="Arial"/>
                <w:color w:val="000000" w:themeColor="text1"/>
                <w:sz w:val="22"/>
                <w:szCs w:val="22"/>
                <w:shd w:val="clear" w:color="auto" w:fill="FFFFFF"/>
              </w:rPr>
              <w:t xml:space="preserve"> for any calendar quarter; and provided, further, that any reduction, or portion thereof, may be carried forward for use in a future calendar quarter. </w:t>
            </w:r>
            <w:r w:rsidR="00541C59" w:rsidRPr="00DB7230">
              <w:rPr>
                <w:rFonts w:ascii="Arial" w:hAnsi="Arial" w:cs="Arial"/>
                <w:color w:val="000000" w:themeColor="text1"/>
                <w:sz w:val="22"/>
                <w:szCs w:val="22"/>
                <w:shd w:val="clear" w:color="auto" w:fill="FFFFFF"/>
              </w:rPr>
              <w:t xml:space="preserve">With respect to any </w:t>
            </w:r>
            <w:proofErr w:type="gramStart"/>
            <w:r w:rsidR="00541C59" w:rsidRPr="00DB7230">
              <w:rPr>
                <w:rFonts w:ascii="Arial" w:hAnsi="Arial" w:cs="Arial"/>
                <w:color w:val="000000" w:themeColor="text1"/>
                <w:sz w:val="22"/>
                <w:szCs w:val="22"/>
                <w:shd w:val="clear" w:color="auto" w:fill="FFFFFF"/>
              </w:rPr>
              <w:t>third party</w:t>
            </w:r>
            <w:proofErr w:type="gramEnd"/>
            <w:r w:rsidR="00541C59" w:rsidRPr="00DB7230">
              <w:rPr>
                <w:rFonts w:ascii="Arial" w:hAnsi="Arial" w:cs="Arial"/>
                <w:color w:val="000000" w:themeColor="text1"/>
                <w:sz w:val="22"/>
                <w:szCs w:val="22"/>
                <w:shd w:val="clear" w:color="auto" w:fill="FFFFFF"/>
              </w:rPr>
              <w:t xml:space="preserve"> exclusive licensors, t</w:t>
            </w:r>
            <w:r w:rsidR="004A1408" w:rsidRPr="00DB7230">
              <w:rPr>
                <w:rFonts w:ascii="Arial" w:hAnsi="Arial" w:cs="Arial"/>
                <w:color w:val="000000" w:themeColor="text1"/>
                <w:sz w:val="22"/>
                <w:szCs w:val="22"/>
                <w:shd w:val="clear" w:color="auto" w:fill="FFFFFF"/>
              </w:rPr>
              <w:t>he</w:t>
            </w:r>
            <w:r w:rsidR="00817408" w:rsidRPr="00DB7230">
              <w:rPr>
                <w:rFonts w:ascii="Arial" w:hAnsi="Arial" w:cs="Arial"/>
                <w:color w:val="000000" w:themeColor="text1"/>
                <w:sz w:val="22"/>
                <w:szCs w:val="22"/>
                <w:shd w:val="clear" w:color="auto" w:fill="FFFFFF"/>
              </w:rPr>
              <w:t xml:space="preserve"> </w:t>
            </w:r>
            <w:r w:rsidR="004A1408" w:rsidRPr="00DB7230">
              <w:rPr>
                <w:rFonts w:ascii="Arial" w:hAnsi="Arial" w:cs="Arial"/>
                <w:color w:val="000000" w:themeColor="text1"/>
                <w:sz w:val="22"/>
                <w:szCs w:val="22"/>
                <w:shd w:val="clear" w:color="auto" w:fill="FFFFFF"/>
              </w:rPr>
              <w:t xml:space="preserve">foregoing </w:t>
            </w:r>
            <w:r w:rsidR="00817408" w:rsidRPr="00DB7230">
              <w:rPr>
                <w:rFonts w:ascii="Arial" w:hAnsi="Arial" w:cs="Arial"/>
                <w:color w:val="000000" w:themeColor="text1"/>
                <w:sz w:val="22"/>
                <w:szCs w:val="22"/>
                <w:shd w:val="clear" w:color="auto" w:fill="FFFFFF"/>
              </w:rPr>
              <w:t xml:space="preserve">royalty stacking provisions </w:t>
            </w:r>
            <w:r w:rsidR="00AE7FD5" w:rsidRPr="00DB7230">
              <w:rPr>
                <w:rFonts w:ascii="Arial" w:hAnsi="Arial" w:cs="Arial"/>
                <w:color w:val="000000" w:themeColor="text1"/>
                <w:sz w:val="22"/>
                <w:szCs w:val="22"/>
                <w:shd w:val="clear" w:color="auto" w:fill="FFFFFF"/>
              </w:rPr>
              <w:t>will</w:t>
            </w:r>
            <w:r w:rsidR="00817408" w:rsidRPr="00DB7230">
              <w:rPr>
                <w:rFonts w:ascii="Arial" w:hAnsi="Arial" w:cs="Arial"/>
                <w:color w:val="000000" w:themeColor="text1"/>
                <w:sz w:val="22"/>
                <w:szCs w:val="22"/>
                <w:shd w:val="clear" w:color="auto" w:fill="FFFFFF"/>
              </w:rPr>
              <w:t xml:space="preserve"> only apply in the event </w:t>
            </w:r>
            <w:r w:rsidR="004A1408" w:rsidRPr="00DB7230">
              <w:rPr>
                <w:rFonts w:ascii="Arial" w:hAnsi="Arial" w:cs="Arial"/>
                <w:color w:val="000000" w:themeColor="text1"/>
                <w:sz w:val="22"/>
                <w:szCs w:val="22"/>
                <w:shd w:val="clear" w:color="auto" w:fill="FFFFFF"/>
              </w:rPr>
              <w:t>such</w:t>
            </w:r>
            <w:r w:rsidR="00817408" w:rsidRPr="00DB7230">
              <w:rPr>
                <w:rFonts w:ascii="Arial" w:hAnsi="Arial" w:cs="Arial"/>
                <w:color w:val="000000" w:themeColor="text1"/>
                <w:sz w:val="22"/>
                <w:szCs w:val="22"/>
                <w:shd w:val="clear" w:color="auto" w:fill="FFFFFF"/>
              </w:rPr>
              <w:t xml:space="preserve"> third party </w:t>
            </w:r>
            <w:r w:rsidR="001C0664" w:rsidRPr="00DB7230">
              <w:rPr>
                <w:rFonts w:ascii="Arial" w:hAnsi="Arial" w:cs="Arial"/>
                <w:color w:val="000000" w:themeColor="text1"/>
                <w:sz w:val="22"/>
                <w:szCs w:val="22"/>
                <w:shd w:val="clear" w:color="auto" w:fill="FFFFFF"/>
              </w:rPr>
              <w:t xml:space="preserve">exclusive </w:t>
            </w:r>
            <w:r w:rsidR="00817408" w:rsidRPr="00DB7230">
              <w:rPr>
                <w:rFonts w:ascii="Arial" w:hAnsi="Arial" w:cs="Arial"/>
                <w:color w:val="000000" w:themeColor="text1"/>
                <w:sz w:val="22"/>
                <w:szCs w:val="22"/>
                <w:shd w:val="clear" w:color="auto" w:fill="FFFFFF"/>
              </w:rPr>
              <w:t xml:space="preserve">licensors </w:t>
            </w:r>
            <w:r w:rsidR="001C0664" w:rsidRPr="00DB7230">
              <w:rPr>
                <w:rFonts w:ascii="Arial" w:hAnsi="Arial" w:cs="Arial"/>
                <w:color w:val="000000" w:themeColor="text1"/>
                <w:sz w:val="22"/>
                <w:szCs w:val="22"/>
                <w:shd w:val="clear" w:color="auto" w:fill="FFFFFF"/>
              </w:rPr>
              <w:t>receiving royalties of [x]%</w:t>
            </w:r>
            <w:r w:rsidR="004035D7" w:rsidRPr="00DB7230">
              <w:rPr>
                <w:rFonts w:ascii="Arial" w:hAnsi="Arial" w:cs="Arial"/>
                <w:color w:val="000000" w:themeColor="text1"/>
                <w:sz w:val="22"/>
                <w:szCs w:val="22"/>
                <w:shd w:val="clear" w:color="auto" w:fill="FFFFFF"/>
              </w:rPr>
              <w:t>]</w:t>
            </w:r>
            <w:r w:rsidR="001C0664" w:rsidRPr="00DB7230">
              <w:rPr>
                <w:rFonts w:ascii="Arial" w:hAnsi="Arial" w:cs="Arial"/>
                <w:color w:val="000000" w:themeColor="text1"/>
                <w:sz w:val="22"/>
                <w:szCs w:val="22"/>
                <w:shd w:val="clear" w:color="auto" w:fill="FFFFFF"/>
              </w:rPr>
              <w:t xml:space="preserve"> </w:t>
            </w:r>
            <w:r w:rsidR="00817408" w:rsidRPr="00DB7230">
              <w:rPr>
                <w:rFonts w:ascii="Arial" w:hAnsi="Arial" w:cs="Arial"/>
                <w:color w:val="000000" w:themeColor="text1"/>
                <w:sz w:val="22"/>
                <w:szCs w:val="22"/>
                <w:shd w:val="clear" w:color="auto" w:fill="FFFFFF"/>
              </w:rPr>
              <w:t xml:space="preserve">are also subject </w:t>
            </w:r>
            <w:r w:rsidR="00817408" w:rsidRPr="00DB7230">
              <w:rPr>
                <w:rFonts w:ascii="Arial" w:hAnsi="Arial" w:cs="Arial"/>
                <w:color w:val="000000" w:themeColor="text1"/>
                <w:sz w:val="22"/>
                <w:szCs w:val="22"/>
                <w:shd w:val="clear" w:color="auto" w:fill="FFFFFF"/>
              </w:rPr>
              <w:lastRenderedPageBreak/>
              <w:t>to similar royalty stacking provisions.</w:t>
            </w:r>
            <w:r w:rsidR="00CD0CD5" w:rsidRPr="00DB7230">
              <w:rPr>
                <w:rStyle w:val="FootnoteReference"/>
                <w:rFonts w:ascii="Arial" w:hAnsi="Arial" w:cs="Arial"/>
                <w:color w:val="000000" w:themeColor="text1"/>
                <w:sz w:val="22"/>
                <w:szCs w:val="22"/>
                <w:shd w:val="clear" w:color="auto" w:fill="FFFFFF"/>
              </w:rPr>
              <w:footnoteReference w:id="25"/>
            </w:r>
          </w:p>
        </w:tc>
      </w:tr>
      <w:tr w:rsidR="00D21497" w:rsidRPr="00DB7230" w14:paraId="7F654E2B" w14:textId="77777777" w:rsidTr="6C4217BD">
        <w:trPr>
          <w:trHeight w:val="249"/>
        </w:trPr>
        <w:tc>
          <w:tcPr>
            <w:tcW w:w="2047" w:type="dxa"/>
          </w:tcPr>
          <w:p w14:paraId="00000062" w14:textId="617A18FE" w:rsidR="00D21497" w:rsidRPr="00DB7230" w:rsidRDefault="00D21497" w:rsidP="00D21497">
            <w:pPr>
              <w:tabs>
                <w:tab w:val="left" w:pos="-720"/>
              </w:tabs>
              <w:spacing w:before="48" w:after="48"/>
              <w:rPr>
                <w:rFonts w:ascii="Arial" w:hAnsi="Arial" w:cs="Arial"/>
                <w:b/>
                <w:sz w:val="22"/>
                <w:szCs w:val="22"/>
              </w:rPr>
            </w:pPr>
            <w:r w:rsidRPr="00DB7230">
              <w:rPr>
                <w:rFonts w:ascii="Arial" w:hAnsi="Arial" w:cs="Arial"/>
                <w:b/>
                <w:sz w:val="22"/>
                <w:szCs w:val="22"/>
              </w:rPr>
              <w:lastRenderedPageBreak/>
              <w:t>Sublicensing Consideration</w:t>
            </w:r>
            <w:r w:rsidR="00817408" w:rsidRPr="00DB7230">
              <w:rPr>
                <w:rStyle w:val="FootnoteReference"/>
                <w:rFonts w:ascii="Arial" w:hAnsi="Arial" w:cs="Arial"/>
                <w:b/>
                <w:sz w:val="22"/>
                <w:szCs w:val="22"/>
              </w:rPr>
              <w:footnoteReference w:id="26"/>
            </w:r>
          </w:p>
        </w:tc>
        <w:tc>
          <w:tcPr>
            <w:tcW w:w="12600" w:type="dxa"/>
          </w:tcPr>
          <w:p w14:paraId="63064A7F" w14:textId="1FFBD616" w:rsidR="00D21497" w:rsidRPr="00DB7230" w:rsidRDefault="00D21497" w:rsidP="00F04CF4">
            <w:pPr>
              <w:tabs>
                <w:tab w:val="left" w:pos="-720"/>
              </w:tabs>
              <w:spacing w:after="48"/>
              <w:rPr>
                <w:rFonts w:ascii="Arial" w:hAnsi="Arial" w:cs="Arial"/>
                <w:sz w:val="22"/>
                <w:szCs w:val="22"/>
              </w:rPr>
            </w:pPr>
            <w:r w:rsidRPr="00DB7230">
              <w:rPr>
                <w:rFonts w:ascii="Arial" w:hAnsi="Arial" w:cs="Arial"/>
                <w:sz w:val="22"/>
                <w:szCs w:val="22"/>
              </w:rPr>
              <w:t>Licensee shall pay to Licensor a portion of all Sublicensing Income as follows:</w:t>
            </w:r>
            <w:r w:rsidRPr="00DB7230">
              <w:rPr>
                <w:rStyle w:val="FootnoteReference"/>
                <w:rFonts w:ascii="Arial" w:hAnsi="Arial" w:cs="Arial"/>
                <w:sz w:val="22"/>
                <w:szCs w:val="22"/>
              </w:rPr>
              <w:footnoteReference w:id="27"/>
            </w:r>
            <w:r w:rsidRPr="00DB7230">
              <w:rPr>
                <w:rFonts w:ascii="Arial" w:hAnsi="Arial" w:cs="Arial"/>
                <w:sz w:val="22"/>
                <w:szCs w:val="22"/>
              </w:rPr>
              <w:t xml:space="preserve">  </w:t>
            </w:r>
          </w:p>
          <w:p w14:paraId="5AA9D936" w14:textId="3C112D95" w:rsidR="00D21497" w:rsidRPr="00DB7230" w:rsidRDefault="006E0573" w:rsidP="00D21497">
            <w:pPr>
              <w:pStyle w:val="ListParagraph"/>
              <w:numPr>
                <w:ilvl w:val="0"/>
                <w:numId w:val="9"/>
              </w:numPr>
              <w:tabs>
                <w:tab w:val="left" w:pos="-720"/>
              </w:tabs>
              <w:spacing w:before="48" w:after="48"/>
              <w:rPr>
                <w:rFonts w:ascii="Arial" w:hAnsi="Arial" w:cs="Arial"/>
                <w:sz w:val="22"/>
                <w:szCs w:val="22"/>
              </w:rPr>
            </w:pPr>
            <w:r w:rsidRPr="00DB7230">
              <w:rPr>
                <w:rFonts w:ascii="Arial" w:hAnsi="Arial" w:cs="Arial"/>
                <w:sz w:val="22"/>
                <w:szCs w:val="22"/>
              </w:rPr>
              <w:t>W</w:t>
            </w:r>
            <w:r w:rsidR="00D21497" w:rsidRPr="00DB7230">
              <w:rPr>
                <w:rFonts w:ascii="Arial" w:hAnsi="Arial" w:cs="Arial"/>
                <w:sz w:val="22"/>
                <w:szCs w:val="22"/>
              </w:rPr>
              <w:t>% of Sublicensing Income received as the result of any Sublicense entered into prior to [event or date X</w:t>
            </w:r>
            <w:proofErr w:type="gramStart"/>
            <w:r w:rsidR="00D21497" w:rsidRPr="00DB7230">
              <w:rPr>
                <w:rFonts w:ascii="Arial" w:hAnsi="Arial" w:cs="Arial"/>
                <w:sz w:val="22"/>
                <w:szCs w:val="22"/>
              </w:rPr>
              <w:t>];</w:t>
            </w:r>
            <w:proofErr w:type="gramEnd"/>
          </w:p>
          <w:p w14:paraId="6492C6EE" w14:textId="7A0E7EF3" w:rsidR="00D21497" w:rsidRPr="00DB7230" w:rsidRDefault="006E0573" w:rsidP="00D21497">
            <w:pPr>
              <w:pStyle w:val="ListParagraph"/>
              <w:numPr>
                <w:ilvl w:val="0"/>
                <w:numId w:val="9"/>
              </w:numPr>
              <w:tabs>
                <w:tab w:val="left" w:pos="-720"/>
              </w:tabs>
              <w:spacing w:before="48" w:after="48"/>
              <w:rPr>
                <w:rFonts w:ascii="Arial" w:hAnsi="Arial" w:cs="Arial"/>
                <w:sz w:val="22"/>
                <w:szCs w:val="22"/>
              </w:rPr>
            </w:pPr>
            <w:r w:rsidRPr="00DB7230">
              <w:rPr>
                <w:rFonts w:ascii="Arial" w:hAnsi="Arial" w:cs="Arial"/>
                <w:sz w:val="22"/>
                <w:szCs w:val="22"/>
              </w:rPr>
              <w:t>X</w:t>
            </w:r>
            <w:r w:rsidR="00D21497" w:rsidRPr="00DB7230">
              <w:rPr>
                <w:rFonts w:ascii="Arial" w:hAnsi="Arial" w:cs="Arial"/>
                <w:sz w:val="22"/>
                <w:szCs w:val="22"/>
              </w:rPr>
              <w:t>% of Sublicensing Income received as the result of any Sublicense entered into after [event or date X] but before [event or date Y</w:t>
            </w:r>
            <w:proofErr w:type="gramStart"/>
            <w:r w:rsidR="00D21497" w:rsidRPr="00DB7230">
              <w:rPr>
                <w:rFonts w:ascii="Arial" w:hAnsi="Arial" w:cs="Arial"/>
                <w:sz w:val="22"/>
                <w:szCs w:val="22"/>
              </w:rPr>
              <w:t>];</w:t>
            </w:r>
            <w:proofErr w:type="gramEnd"/>
          </w:p>
          <w:p w14:paraId="1AD607F4" w14:textId="1929179B" w:rsidR="00D21497" w:rsidRPr="00DB7230" w:rsidRDefault="006E0573" w:rsidP="00D21497">
            <w:pPr>
              <w:pStyle w:val="ListParagraph"/>
              <w:numPr>
                <w:ilvl w:val="0"/>
                <w:numId w:val="9"/>
              </w:numPr>
              <w:tabs>
                <w:tab w:val="left" w:pos="-720"/>
              </w:tabs>
              <w:spacing w:before="48" w:after="48"/>
              <w:rPr>
                <w:rFonts w:ascii="Arial" w:hAnsi="Arial" w:cs="Arial"/>
                <w:sz w:val="22"/>
                <w:szCs w:val="22"/>
              </w:rPr>
            </w:pPr>
            <w:r w:rsidRPr="00DB7230">
              <w:rPr>
                <w:rFonts w:ascii="Arial" w:hAnsi="Arial" w:cs="Arial"/>
                <w:sz w:val="22"/>
                <w:szCs w:val="22"/>
              </w:rPr>
              <w:t>Y</w:t>
            </w:r>
            <w:r w:rsidR="00D21497" w:rsidRPr="00DB7230">
              <w:rPr>
                <w:rFonts w:ascii="Arial" w:hAnsi="Arial" w:cs="Arial"/>
                <w:sz w:val="22"/>
                <w:szCs w:val="22"/>
              </w:rPr>
              <w:t xml:space="preserve">% of Sublicensing Income received as the result of any Sublicense </w:t>
            </w:r>
            <w:proofErr w:type="gramStart"/>
            <w:r w:rsidR="00D21497" w:rsidRPr="00DB7230">
              <w:rPr>
                <w:rFonts w:ascii="Arial" w:hAnsi="Arial" w:cs="Arial"/>
                <w:sz w:val="22"/>
                <w:szCs w:val="22"/>
              </w:rPr>
              <w:t>entered into</w:t>
            </w:r>
            <w:proofErr w:type="gramEnd"/>
            <w:r w:rsidR="00D21497" w:rsidRPr="00DB7230">
              <w:rPr>
                <w:rFonts w:ascii="Arial" w:hAnsi="Arial" w:cs="Arial"/>
                <w:sz w:val="22"/>
                <w:szCs w:val="22"/>
              </w:rPr>
              <w:t xml:space="preserve"> after [event or date Y] but prior to [event or date Z]; and </w:t>
            </w:r>
          </w:p>
          <w:p w14:paraId="7A9BE026" w14:textId="587B5B5E" w:rsidR="00D21497" w:rsidRPr="00DB7230" w:rsidRDefault="006E0573" w:rsidP="00D21497">
            <w:pPr>
              <w:pStyle w:val="ListParagraph"/>
              <w:numPr>
                <w:ilvl w:val="0"/>
                <w:numId w:val="9"/>
              </w:numPr>
              <w:tabs>
                <w:tab w:val="left" w:pos="-720"/>
              </w:tabs>
              <w:spacing w:before="48" w:after="48"/>
              <w:rPr>
                <w:rFonts w:ascii="Arial" w:hAnsi="Arial" w:cs="Arial"/>
                <w:sz w:val="22"/>
                <w:szCs w:val="22"/>
              </w:rPr>
            </w:pPr>
            <w:r w:rsidRPr="00DB7230">
              <w:rPr>
                <w:rFonts w:ascii="Arial" w:hAnsi="Arial" w:cs="Arial"/>
                <w:sz w:val="22"/>
                <w:szCs w:val="22"/>
              </w:rPr>
              <w:t>Z</w:t>
            </w:r>
            <w:r w:rsidR="00D21497" w:rsidRPr="00DB7230">
              <w:rPr>
                <w:rFonts w:ascii="Arial" w:hAnsi="Arial" w:cs="Arial"/>
                <w:sz w:val="22"/>
                <w:szCs w:val="22"/>
              </w:rPr>
              <w:t>% of Sublicensing Income received as the result of any Sublicense entered thereafter.</w:t>
            </w:r>
          </w:p>
          <w:p w14:paraId="00000066" w14:textId="2F8FB87B" w:rsidR="00D21497" w:rsidRPr="00DB7230" w:rsidRDefault="00D21497" w:rsidP="00D21497">
            <w:pPr>
              <w:tabs>
                <w:tab w:val="left" w:pos="-720"/>
              </w:tabs>
              <w:spacing w:before="48" w:after="48"/>
              <w:rPr>
                <w:rFonts w:ascii="Arial" w:hAnsi="Arial" w:cs="Arial"/>
                <w:sz w:val="22"/>
                <w:szCs w:val="22"/>
              </w:rPr>
            </w:pPr>
            <w:r w:rsidRPr="00DB7230">
              <w:rPr>
                <w:rFonts w:ascii="Arial" w:hAnsi="Arial" w:cs="Arial"/>
                <w:color w:val="222222"/>
                <w:sz w:val="22"/>
                <w:szCs w:val="22"/>
              </w:rPr>
              <w:t xml:space="preserve">Licensee may apportion a commercially reasonable percentage of Sublicensing Income between the </w:t>
            </w:r>
            <w:r w:rsidR="00C86D8B">
              <w:rPr>
                <w:rFonts w:ascii="Arial" w:hAnsi="Arial" w:cs="Arial"/>
                <w:color w:val="222222"/>
                <w:sz w:val="22"/>
                <w:szCs w:val="22"/>
              </w:rPr>
              <w:t>Licensed Technology</w:t>
            </w:r>
            <w:r w:rsidRPr="00DB7230">
              <w:rPr>
                <w:rFonts w:ascii="Arial" w:hAnsi="Arial" w:cs="Arial"/>
                <w:color w:val="222222"/>
                <w:sz w:val="22"/>
                <w:szCs w:val="22"/>
              </w:rPr>
              <w:t xml:space="preserve"> and </w:t>
            </w:r>
            <w:r w:rsidR="0097401B" w:rsidRPr="00DB7230">
              <w:rPr>
                <w:rFonts w:ascii="Arial" w:hAnsi="Arial" w:cs="Arial"/>
                <w:color w:val="222222"/>
                <w:sz w:val="22"/>
                <w:szCs w:val="22"/>
              </w:rPr>
              <w:t>patent rights</w:t>
            </w:r>
            <w:r w:rsidR="00950F3B" w:rsidRPr="00DB7230">
              <w:rPr>
                <w:rFonts w:ascii="Arial" w:hAnsi="Arial" w:cs="Arial"/>
                <w:color w:val="222222"/>
                <w:sz w:val="22"/>
                <w:szCs w:val="22"/>
              </w:rPr>
              <w:t xml:space="preserve"> </w:t>
            </w:r>
            <w:r w:rsidR="00C86D8B">
              <w:rPr>
                <w:rFonts w:ascii="Arial" w:hAnsi="Arial" w:cs="Arial"/>
                <w:color w:val="222222"/>
                <w:sz w:val="22"/>
                <w:szCs w:val="22"/>
              </w:rPr>
              <w:t xml:space="preserve">[and know-how] </w:t>
            </w:r>
            <w:r w:rsidR="00950F3B" w:rsidRPr="00DB7230">
              <w:rPr>
                <w:rFonts w:ascii="Arial" w:hAnsi="Arial" w:cs="Arial"/>
                <w:color w:val="222222"/>
                <w:sz w:val="22"/>
                <w:szCs w:val="22"/>
              </w:rPr>
              <w:t>owned or controlled by Licensee and that are included in the same Sublicense</w:t>
            </w:r>
            <w:r w:rsidRPr="00DB7230">
              <w:rPr>
                <w:rFonts w:ascii="Arial" w:hAnsi="Arial" w:cs="Arial"/>
                <w:color w:val="222222"/>
                <w:sz w:val="22"/>
                <w:szCs w:val="22"/>
              </w:rPr>
              <w:t xml:space="preserve">, provided that (a) Licensee provides Licensor with </w:t>
            </w:r>
            <w:r w:rsidR="000A6325" w:rsidRPr="00DB7230">
              <w:rPr>
                <w:rFonts w:ascii="Arial" w:hAnsi="Arial" w:cs="Arial"/>
                <w:color w:val="222222"/>
                <w:sz w:val="22"/>
                <w:szCs w:val="22"/>
              </w:rPr>
              <w:t xml:space="preserve">reasonably detailed </w:t>
            </w:r>
            <w:r w:rsidRPr="00DB7230">
              <w:rPr>
                <w:rFonts w:ascii="Arial" w:hAnsi="Arial" w:cs="Arial"/>
                <w:color w:val="222222"/>
                <w:sz w:val="22"/>
                <w:szCs w:val="22"/>
              </w:rPr>
              <w:t xml:space="preserve">information on the apportionment and justification no later than 60 days prior to the due date for amounts due and (b) Licensee </w:t>
            </w:r>
            <w:r w:rsidR="003F201D" w:rsidRPr="00DB7230">
              <w:rPr>
                <w:rFonts w:ascii="Arial" w:hAnsi="Arial" w:cs="Arial"/>
                <w:color w:val="222222"/>
                <w:sz w:val="22"/>
                <w:szCs w:val="22"/>
              </w:rPr>
              <w:t>and Licensor agree on the apportionment</w:t>
            </w:r>
            <w:r w:rsidRPr="00DB7230">
              <w:rPr>
                <w:rFonts w:ascii="Arial" w:hAnsi="Arial" w:cs="Arial"/>
                <w:color w:val="222222"/>
                <w:sz w:val="22"/>
                <w:szCs w:val="22"/>
              </w:rPr>
              <w:t>.</w:t>
            </w:r>
            <w:r w:rsidRPr="00DB7230">
              <w:rPr>
                <w:rFonts w:ascii="Arial" w:hAnsi="Arial" w:cs="Arial"/>
                <w:sz w:val="22"/>
                <w:szCs w:val="22"/>
              </w:rPr>
              <w:t xml:space="preserve"> If </w:t>
            </w:r>
            <w:proofErr w:type="gramStart"/>
            <w:r w:rsidRPr="00DB7230">
              <w:rPr>
                <w:rFonts w:ascii="Arial" w:hAnsi="Arial" w:cs="Arial"/>
                <w:sz w:val="22"/>
                <w:szCs w:val="22"/>
              </w:rPr>
              <w:t>Licensee</w:t>
            </w:r>
            <w:proofErr w:type="gramEnd"/>
            <w:r w:rsidRPr="00DB7230">
              <w:rPr>
                <w:rFonts w:ascii="Arial" w:hAnsi="Arial" w:cs="Arial"/>
                <w:sz w:val="22"/>
                <w:szCs w:val="22"/>
              </w:rPr>
              <w:t xml:space="preserve"> and Licensor cannot agree on the apportionment</w:t>
            </w:r>
            <w:r w:rsidR="003F201D" w:rsidRPr="00DB7230">
              <w:rPr>
                <w:rFonts w:ascii="Arial" w:hAnsi="Arial" w:cs="Arial"/>
                <w:sz w:val="22"/>
                <w:szCs w:val="22"/>
              </w:rPr>
              <w:t xml:space="preserve">, </w:t>
            </w:r>
            <w:r w:rsidR="00443E33" w:rsidRPr="00DB7230">
              <w:rPr>
                <w:rFonts w:ascii="Arial" w:hAnsi="Arial" w:cs="Arial"/>
                <w:sz w:val="22"/>
                <w:szCs w:val="22"/>
              </w:rPr>
              <w:t>the parties shall use Standard Dispute Resolution</w:t>
            </w:r>
            <w:r w:rsidRPr="00DB7230">
              <w:rPr>
                <w:rFonts w:ascii="Arial" w:hAnsi="Arial" w:cs="Arial"/>
                <w:sz w:val="22"/>
                <w:szCs w:val="22"/>
              </w:rPr>
              <w:t xml:space="preserve">.   </w:t>
            </w:r>
          </w:p>
        </w:tc>
      </w:tr>
      <w:tr w:rsidR="00D21497" w:rsidRPr="00DB7230" w14:paraId="55521192" w14:textId="77777777" w:rsidTr="6C4217BD">
        <w:trPr>
          <w:trHeight w:val="249"/>
        </w:trPr>
        <w:tc>
          <w:tcPr>
            <w:tcW w:w="2047" w:type="dxa"/>
          </w:tcPr>
          <w:p w14:paraId="00000067" w14:textId="77777777" w:rsidR="00D21497" w:rsidRPr="00DB7230" w:rsidRDefault="00D21497" w:rsidP="00D21497">
            <w:pPr>
              <w:tabs>
                <w:tab w:val="left" w:pos="-720"/>
              </w:tabs>
              <w:spacing w:before="48" w:after="48"/>
              <w:rPr>
                <w:rFonts w:ascii="Arial" w:hAnsi="Arial" w:cs="Arial"/>
                <w:b/>
                <w:sz w:val="22"/>
                <w:szCs w:val="22"/>
              </w:rPr>
            </w:pPr>
            <w:r w:rsidRPr="00DB7230">
              <w:rPr>
                <w:rFonts w:ascii="Arial" w:hAnsi="Arial" w:cs="Arial"/>
                <w:b/>
                <w:sz w:val="22"/>
                <w:szCs w:val="22"/>
              </w:rPr>
              <w:t>Diligence Milestones</w:t>
            </w:r>
          </w:p>
        </w:tc>
        <w:tc>
          <w:tcPr>
            <w:tcW w:w="12600" w:type="dxa"/>
          </w:tcPr>
          <w:p w14:paraId="00000068" w14:textId="77777777" w:rsidR="00D21497" w:rsidRPr="00DB7230" w:rsidRDefault="00D21497" w:rsidP="00D21497">
            <w:pPr>
              <w:tabs>
                <w:tab w:val="left" w:pos="-720"/>
              </w:tabs>
              <w:spacing w:before="48" w:after="48"/>
              <w:rPr>
                <w:rFonts w:ascii="Arial" w:hAnsi="Arial" w:cs="Arial"/>
                <w:sz w:val="22"/>
                <w:szCs w:val="22"/>
              </w:rPr>
            </w:pPr>
            <w:r w:rsidRPr="00DB7230">
              <w:rPr>
                <w:rFonts w:ascii="Arial" w:hAnsi="Arial" w:cs="Arial"/>
                <w:sz w:val="22"/>
                <w:szCs w:val="22"/>
              </w:rPr>
              <w:t xml:space="preserve">Licensee shall use </w:t>
            </w:r>
            <w:r w:rsidRPr="00DB7230">
              <w:rPr>
                <w:rFonts w:ascii="Arial" w:hAnsi="Arial" w:cs="Arial"/>
                <w:bCs/>
                <w:iCs/>
                <w:sz w:val="22"/>
                <w:szCs w:val="22"/>
              </w:rPr>
              <w:t>Commercially Reasonable Efforts to develop at least one Licensed Product in the Territory and commercialize such Licensed Product</w:t>
            </w:r>
            <w:r w:rsidRPr="00DB7230">
              <w:rPr>
                <w:rFonts w:ascii="Arial" w:hAnsi="Arial" w:cs="Arial"/>
                <w:sz w:val="22"/>
                <w:szCs w:val="22"/>
              </w:rPr>
              <w:t xml:space="preserve"> following regulatory approval.</w:t>
            </w:r>
            <w:r w:rsidRPr="00DB7230">
              <w:rPr>
                <w:rFonts w:ascii="Arial" w:hAnsi="Arial" w:cs="Arial"/>
                <w:sz w:val="22"/>
                <w:szCs w:val="22"/>
                <w:vertAlign w:val="superscript"/>
              </w:rPr>
              <w:footnoteReference w:id="28"/>
            </w:r>
            <w:r w:rsidRPr="00DB7230">
              <w:rPr>
                <w:rFonts w:ascii="Arial" w:hAnsi="Arial" w:cs="Arial"/>
                <w:sz w:val="22"/>
                <w:szCs w:val="22"/>
              </w:rPr>
              <w:t xml:space="preserve"> </w:t>
            </w:r>
          </w:p>
          <w:p w14:paraId="00000069" w14:textId="4DBC399A" w:rsidR="00D21497" w:rsidRPr="00DB7230" w:rsidRDefault="00D21497" w:rsidP="00D21497">
            <w:pPr>
              <w:tabs>
                <w:tab w:val="left" w:pos="-720"/>
              </w:tabs>
              <w:spacing w:before="48" w:after="48"/>
              <w:rPr>
                <w:rFonts w:ascii="Arial" w:hAnsi="Arial" w:cs="Arial"/>
                <w:sz w:val="22"/>
                <w:szCs w:val="22"/>
              </w:rPr>
            </w:pPr>
            <w:r w:rsidRPr="00DB7230">
              <w:rPr>
                <w:rFonts w:ascii="Arial" w:hAnsi="Arial" w:cs="Arial"/>
                <w:sz w:val="22"/>
                <w:szCs w:val="22"/>
              </w:rPr>
              <w:t>In addition, Licensee (either itself or through the acts of a</w:t>
            </w:r>
            <w:r w:rsidR="00C86D8B">
              <w:rPr>
                <w:rFonts w:ascii="Arial" w:hAnsi="Arial" w:cs="Arial"/>
                <w:sz w:val="22"/>
                <w:szCs w:val="22"/>
              </w:rPr>
              <w:t>ny of its Affiliates,</w:t>
            </w:r>
            <w:r w:rsidRPr="00DB7230">
              <w:rPr>
                <w:rFonts w:ascii="Arial" w:hAnsi="Arial" w:cs="Arial"/>
                <w:sz w:val="22"/>
                <w:szCs w:val="22"/>
              </w:rPr>
              <w:t xml:space="preserve"> Sublicensee</w:t>
            </w:r>
            <w:r w:rsidR="00C86D8B">
              <w:rPr>
                <w:rFonts w:ascii="Arial" w:hAnsi="Arial" w:cs="Arial"/>
                <w:sz w:val="22"/>
                <w:szCs w:val="22"/>
              </w:rPr>
              <w:t>s or subcontractors</w:t>
            </w:r>
            <w:r w:rsidRPr="00DB7230">
              <w:rPr>
                <w:rFonts w:ascii="Arial" w:hAnsi="Arial" w:cs="Arial"/>
                <w:sz w:val="22"/>
                <w:szCs w:val="22"/>
              </w:rPr>
              <w:t xml:space="preserve">) </w:t>
            </w:r>
            <w:r w:rsidR="00AE7FD5" w:rsidRPr="00DB7230">
              <w:rPr>
                <w:rFonts w:ascii="Arial" w:hAnsi="Arial" w:cs="Arial"/>
                <w:sz w:val="22"/>
                <w:szCs w:val="22"/>
              </w:rPr>
              <w:t xml:space="preserve">is required to </w:t>
            </w:r>
            <w:r w:rsidRPr="00DB7230">
              <w:rPr>
                <w:rFonts w:ascii="Arial" w:hAnsi="Arial" w:cs="Arial"/>
                <w:sz w:val="22"/>
                <w:szCs w:val="22"/>
              </w:rPr>
              <w:t>achieve the following due diligence milestones (the “</w:t>
            </w:r>
            <w:r w:rsidRPr="00DB7230">
              <w:rPr>
                <w:rFonts w:ascii="Arial" w:hAnsi="Arial" w:cs="Arial"/>
                <w:b/>
                <w:sz w:val="22"/>
                <w:szCs w:val="22"/>
              </w:rPr>
              <w:t>Diligence Milestone</w:t>
            </w:r>
            <w:r w:rsidRPr="00DB7230">
              <w:rPr>
                <w:rFonts w:ascii="Arial" w:hAnsi="Arial" w:cs="Arial"/>
                <w:sz w:val="22"/>
                <w:szCs w:val="22"/>
              </w:rPr>
              <w:t>”) by the dates set forth below (the “</w:t>
            </w:r>
            <w:r w:rsidRPr="00DB7230">
              <w:rPr>
                <w:rFonts w:ascii="Arial" w:hAnsi="Arial" w:cs="Arial"/>
                <w:b/>
                <w:sz w:val="22"/>
                <w:szCs w:val="22"/>
              </w:rPr>
              <w:t>Achievement Date</w:t>
            </w:r>
            <w:r w:rsidRPr="00DB7230">
              <w:rPr>
                <w:rFonts w:ascii="Arial" w:hAnsi="Arial" w:cs="Arial"/>
                <w:sz w:val="22"/>
                <w:szCs w:val="22"/>
              </w:rPr>
              <w:t>”):</w:t>
            </w:r>
          </w:p>
          <w:p w14:paraId="0000006A" w14:textId="21CF264A" w:rsidR="00D21497" w:rsidRPr="00DB7230" w:rsidRDefault="00D21497" w:rsidP="00D21497">
            <w:pPr>
              <w:tabs>
                <w:tab w:val="left" w:pos="-720"/>
              </w:tabs>
              <w:spacing w:before="48" w:after="48"/>
              <w:rPr>
                <w:rFonts w:ascii="Arial" w:hAnsi="Arial" w:cs="Arial"/>
                <w:sz w:val="22"/>
                <w:szCs w:val="22"/>
              </w:rPr>
            </w:pPr>
            <w:r w:rsidRPr="00DB7230">
              <w:rPr>
                <w:rFonts w:ascii="Arial" w:hAnsi="Arial" w:cs="Arial"/>
                <w:sz w:val="22"/>
                <w:szCs w:val="22"/>
              </w:rPr>
              <w:t>[</w:t>
            </w:r>
            <w:r w:rsidRPr="00DB7230">
              <w:rPr>
                <w:rFonts w:ascii="Arial" w:hAnsi="Arial" w:cs="Arial"/>
                <w:i/>
                <w:sz w:val="22"/>
                <w:szCs w:val="22"/>
              </w:rPr>
              <w:t>Examples of Diligence Milestone</w:t>
            </w:r>
            <w:r w:rsidR="006E0573" w:rsidRPr="00DB7230">
              <w:rPr>
                <w:rFonts w:ascii="Arial" w:hAnsi="Arial" w:cs="Arial"/>
                <w:i/>
                <w:sz w:val="22"/>
                <w:szCs w:val="22"/>
              </w:rPr>
              <w:t>s</w:t>
            </w:r>
            <w:r w:rsidRPr="00DB7230">
              <w:rPr>
                <w:rFonts w:ascii="Arial" w:hAnsi="Arial" w:cs="Arial"/>
                <w:sz w:val="22"/>
                <w:szCs w:val="22"/>
              </w:rPr>
              <w:t>:</w:t>
            </w:r>
            <w:r w:rsidR="006E0573" w:rsidRPr="00DB7230">
              <w:rPr>
                <w:rFonts w:ascii="Arial" w:hAnsi="Arial" w:cs="Arial"/>
                <w:sz w:val="22"/>
                <w:szCs w:val="22"/>
              </w:rPr>
              <w:t>]</w:t>
            </w:r>
          </w:p>
          <w:p w14:paraId="0000006B" w14:textId="77777777" w:rsidR="00D21497" w:rsidRPr="00DB7230" w:rsidRDefault="00D21497" w:rsidP="00D21497">
            <w:pPr>
              <w:numPr>
                <w:ilvl w:val="0"/>
                <w:numId w:val="2"/>
              </w:numPr>
              <w:pBdr>
                <w:top w:val="nil"/>
                <w:left w:val="nil"/>
                <w:bottom w:val="nil"/>
                <w:right w:val="nil"/>
                <w:between w:val="nil"/>
              </w:pBdr>
              <w:rPr>
                <w:rFonts w:ascii="Arial" w:hAnsi="Arial" w:cs="Arial"/>
                <w:color w:val="000000"/>
                <w:sz w:val="22"/>
                <w:szCs w:val="22"/>
              </w:rPr>
            </w:pPr>
            <w:r w:rsidRPr="00DB7230">
              <w:rPr>
                <w:rFonts w:ascii="Arial" w:hAnsi="Arial" w:cs="Arial"/>
                <w:color w:val="000000"/>
                <w:sz w:val="22"/>
                <w:szCs w:val="22"/>
              </w:rPr>
              <w:t>Obtaining financing in an amount of at least [$] by [DATE]</w:t>
            </w:r>
          </w:p>
          <w:p w14:paraId="0000006C" w14:textId="77777777" w:rsidR="00D21497" w:rsidRPr="00DB7230" w:rsidRDefault="00D21497" w:rsidP="00D21497">
            <w:pPr>
              <w:numPr>
                <w:ilvl w:val="0"/>
                <w:numId w:val="2"/>
              </w:numPr>
              <w:pBdr>
                <w:top w:val="nil"/>
                <w:left w:val="nil"/>
                <w:bottom w:val="nil"/>
                <w:right w:val="nil"/>
                <w:between w:val="nil"/>
              </w:pBdr>
              <w:rPr>
                <w:rFonts w:ascii="Arial" w:hAnsi="Arial" w:cs="Arial"/>
                <w:color w:val="000000"/>
                <w:sz w:val="22"/>
                <w:szCs w:val="22"/>
              </w:rPr>
            </w:pPr>
            <w:r w:rsidRPr="00DB7230">
              <w:rPr>
                <w:rFonts w:ascii="Arial" w:hAnsi="Arial" w:cs="Arial"/>
                <w:color w:val="000000"/>
                <w:sz w:val="22"/>
                <w:szCs w:val="22"/>
              </w:rPr>
              <w:t>Nomination of a development candidate by [DATE]</w:t>
            </w:r>
          </w:p>
          <w:p w14:paraId="0000006D" w14:textId="77777777" w:rsidR="00D21497" w:rsidRPr="00DB7230" w:rsidRDefault="00D21497" w:rsidP="00D21497">
            <w:pPr>
              <w:numPr>
                <w:ilvl w:val="0"/>
                <w:numId w:val="2"/>
              </w:numPr>
              <w:pBdr>
                <w:top w:val="nil"/>
                <w:left w:val="nil"/>
                <w:bottom w:val="nil"/>
                <w:right w:val="nil"/>
                <w:between w:val="nil"/>
              </w:pBdr>
              <w:rPr>
                <w:rFonts w:ascii="Arial" w:hAnsi="Arial" w:cs="Arial"/>
                <w:color w:val="000000"/>
                <w:sz w:val="22"/>
                <w:szCs w:val="22"/>
              </w:rPr>
            </w:pPr>
            <w:r w:rsidRPr="00DB7230">
              <w:rPr>
                <w:rFonts w:ascii="Arial" w:hAnsi="Arial" w:cs="Arial"/>
                <w:color w:val="000000"/>
                <w:sz w:val="22"/>
                <w:szCs w:val="22"/>
              </w:rPr>
              <w:t>Initiation of GLP toxicity studies by [DATE]</w:t>
            </w:r>
          </w:p>
          <w:p w14:paraId="0000006E" w14:textId="77777777" w:rsidR="00D21497" w:rsidRPr="00DB7230" w:rsidRDefault="00D21497" w:rsidP="00D21497">
            <w:pPr>
              <w:numPr>
                <w:ilvl w:val="0"/>
                <w:numId w:val="2"/>
              </w:numPr>
              <w:pBdr>
                <w:top w:val="nil"/>
                <w:left w:val="nil"/>
                <w:bottom w:val="nil"/>
                <w:right w:val="nil"/>
                <w:between w:val="nil"/>
              </w:pBdr>
              <w:rPr>
                <w:rFonts w:ascii="Arial" w:hAnsi="Arial" w:cs="Arial"/>
                <w:color w:val="000000"/>
                <w:sz w:val="22"/>
                <w:szCs w:val="22"/>
              </w:rPr>
            </w:pPr>
            <w:r w:rsidRPr="00DB7230">
              <w:rPr>
                <w:rFonts w:ascii="Arial" w:hAnsi="Arial" w:cs="Arial"/>
                <w:color w:val="000000"/>
                <w:sz w:val="22"/>
                <w:szCs w:val="22"/>
              </w:rPr>
              <w:t xml:space="preserve">Submission of the first IND for a Licensed Product by [DATE]   </w:t>
            </w:r>
          </w:p>
          <w:p w14:paraId="00000070" w14:textId="22FCAEC4" w:rsidR="00D21497" w:rsidRPr="00DB7230" w:rsidRDefault="00D21497" w:rsidP="00D21497">
            <w:pPr>
              <w:numPr>
                <w:ilvl w:val="0"/>
                <w:numId w:val="2"/>
              </w:numPr>
              <w:pBdr>
                <w:top w:val="nil"/>
                <w:left w:val="nil"/>
                <w:bottom w:val="nil"/>
                <w:right w:val="nil"/>
                <w:between w:val="nil"/>
              </w:pBdr>
              <w:rPr>
                <w:rFonts w:ascii="Arial" w:hAnsi="Arial" w:cs="Arial"/>
                <w:sz w:val="22"/>
                <w:szCs w:val="22"/>
              </w:rPr>
            </w:pPr>
            <w:r w:rsidRPr="00DB7230">
              <w:rPr>
                <w:rFonts w:ascii="Arial" w:hAnsi="Arial" w:cs="Arial"/>
                <w:color w:val="000000"/>
                <w:sz w:val="22"/>
                <w:szCs w:val="22"/>
              </w:rPr>
              <w:t>First subject dosed in Phase 1 clinical trial by [DATE]</w:t>
            </w:r>
          </w:p>
        </w:tc>
      </w:tr>
      <w:tr w:rsidR="00D21497" w:rsidRPr="00DB7230" w14:paraId="626448E6" w14:textId="77777777" w:rsidTr="6C4217BD">
        <w:trPr>
          <w:trHeight w:val="249"/>
        </w:trPr>
        <w:tc>
          <w:tcPr>
            <w:tcW w:w="2047" w:type="dxa"/>
          </w:tcPr>
          <w:p w14:paraId="00000071" w14:textId="77777777" w:rsidR="00D21497" w:rsidRPr="00DB7230" w:rsidRDefault="00D21497" w:rsidP="00D21497">
            <w:pPr>
              <w:tabs>
                <w:tab w:val="left" w:pos="-720"/>
              </w:tabs>
              <w:spacing w:before="48" w:after="48"/>
              <w:rPr>
                <w:rFonts w:ascii="Arial" w:hAnsi="Arial" w:cs="Arial"/>
                <w:b/>
                <w:sz w:val="22"/>
                <w:szCs w:val="22"/>
              </w:rPr>
            </w:pPr>
            <w:r w:rsidRPr="00DB7230">
              <w:rPr>
                <w:rFonts w:ascii="Arial" w:hAnsi="Arial" w:cs="Arial"/>
                <w:b/>
                <w:sz w:val="22"/>
                <w:szCs w:val="22"/>
              </w:rPr>
              <w:lastRenderedPageBreak/>
              <w:t>Deferral of Diligence Milestones</w:t>
            </w:r>
          </w:p>
        </w:tc>
        <w:tc>
          <w:tcPr>
            <w:tcW w:w="12600" w:type="dxa"/>
          </w:tcPr>
          <w:p w14:paraId="00000072" w14:textId="505297E5" w:rsidR="00D21497" w:rsidRPr="00DB7230" w:rsidRDefault="00D21497" w:rsidP="00D21497">
            <w:pPr>
              <w:tabs>
                <w:tab w:val="left" w:pos="-720"/>
              </w:tabs>
              <w:spacing w:before="48" w:after="48"/>
              <w:rPr>
                <w:rFonts w:ascii="Arial" w:hAnsi="Arial" w:cs="Arial"/>
                <w:sz w:val="22"/>
                <w:szCs w:val="22"/>
              </w:rPr>
            </w:pPr>
            <w:r w:rsidRPr="00DB7230">
              <w:rPr>
                <w:rFonts w:ascii="Arial" w:hAnsi="Arial" w:cs="Arial"/>
                <w:color w:val="222222"/>
                <w:sz w:val="22"/>
                <w:szCs w:val="22"/>
                <w:shd w:val="clear" w:color="auto" w:fill="FFFFFF"/>
              </w:rPr>
              <w:t>Licensor acknowledges that due to long development times, scientific, potential safety and development hurdles and challenges and regulatory requirements and processes associated with Licensee’s industry, Licensee may be unable to achieve a particular Diligence Milestone by a relevant Achievement Date.   Licensee will notify Licensor</w:t>
            </w:r>
            <w:r w:rsidR="00363616" w:rsidRPr="00DB7230">
              <w:rPr>
                <w:rFonts w:ascii="Arial" w:hAnsi="Arial" w:cs="Arial"/>
                <w:color w:val="222222"/>
                <w:sz w:val="22"/>
                <w:szCs w:val="22"/>
                <w:shd w:val="clear" w:color="auto" w:fill="FFFFFF"/>
              </w:rPr>
              <w:t xml:space="preserve"> in writing</w:t>
            </w:r>
            <w:r w:rsidRPr="00DB7230">
              <w:rPr>
                <w:rFonts w:ascii="Arial" w:hAnsi="Arial" w:cs="Arial"/>
                <w:color w:val="222222"/>
                <w:sz w:val="22"/>
                <w:szCs w:val="22"/>
                <w:shd w:val="clear" w:color="auto" w:fill="FFFFFF"/>
              </w:rPr>
              <w:t xml:space="preserve"> in advance of any such anticipated delay</w:t>
            </w:r>
            <w:r w:rsidR="006E0573" w:rsidRPr="00DB7230">
              <w:rPr>
                <w:rFonts w:ascii="Arial" w:hAnsi="Arial" w:cs="Arial"/>
                <w:color w:val="222222"/>
                <w:sz w:val="22"/>
                <w:szCs w:val="22"/>
                <w:shd w:val="clear" w:color="auto" w:fill="FFFFFF"/>
              </w:rPr>
              <w:t>,</w:t>
            </w:r>
            <w:r w:rsidRPr="00DB7230">
              <w:rPr>
                <w:rFonts w:ascii="Arial" w:hAnsi="Arial" w:cs="Arial"/>
                <w:color w:val="222222"/>
                <w:sz w:val="22"/>
                <w:szCs w:val="22"/>
                <w:shd w:val="clear" w:color="auto" w:fill="FFFFFF"/>
              </w:rPr>
              <w:t xml:space="preserve"> and as long as Licensee is fulfilling its obligations of Commercially Reasonable Efforts</w:t>
            </w:r>
            <w:r w:rsidR="006E0573" w:rsidRPr="00DB7230">
              <w:rPr>
                <w:rFonts w:ascii="Arial" w:hAnsi="Arial" w:cs="Arial"/>
                <w:color w:val="222222"/>
                <w:sz w:val="22"/>
                <w:szCs w:val="22"/>
                <w:shd w:val="clear" w:color="auto" w:fill="FFFFFF"/>
              </w:rPr>
              <w:t>,</w:t>
            </w:r>
            <w:r w:rsidRPr="00DB7230">
              <w:rPr>
                <w:rFonts w:ascii="Arial" w:hAnsi="Arial" w:cs="Arial"/>
                <w:color w:val="222222"/>
                <w:sz w:val="22"/>
                <w:szCs w:val="22"/>
                <w:shd w:val="clear" w:color="auto" w:fill="FFFFFF"/>
              </w:rPr>
              <w:t xml:space="preserve"> the parties will negotiate in good faith an extension of the relevant Achievement Date </w:t>
            </w:r>
            <w:r w:rsidRPr="00DB7230">
              <w:rPr>
                <w:rFonts w:ascii="Arial" w:hAnsi="Arial" w:cs="Arial"/>
                <w:sz w:val="22"/>
                <w:szCs w:val="22"/>
              </w:rPr>
              <w:t>upon the payment of a fee (the “</w:t>
            </w:r>
            <w:r w:rsidRPr="00DB7230">
              <w:rPr>
                <w:rFonts w:ascii="Arial" w:hAnsi="Arial" w:cs="Arial"/>
                <w:b/>
                <w:sz w:val="22"/>
                <w:szCs w:val="22"/>
              </w:rPr>
              <w:t>Extension Fee</w:t>
            </w:r>
            <w:r w:rsidRPr="00DB7230">
              <w:rPr>
                <w:rFonts w:ascii="Arial" w:hAnsi="Arial" w:cs="Arial"/>
                <w:sz w:val="22"/>
                <w:szCs w:val="22"/>
              </w:rPr>
              <w:t>”) equal to [$x/x% of the relevant Development Milestone Payment], which extension Licensee must exercise no later than [x days] before the relevant Achievement Date.  [Licensee may extend each Diligence Milestone as set forth above only [once/twice]].</w:t>
            </w:r>
            <w:r w:rsidRPr="00DB7230">
              <w:rPr>
                <w:rFonts w:ascii="Arial" w:hAnsi="Arial" w:cs="Arial"/>
                <w:sz w:val="22"/>
                <w:szCs w:val="22"/>
                <w:vertAlign w:val="superscript"/>
              </w:rPr>
              <w:footnoteReference w:id="29"/>
            </w:r>
            <w:r w:rsidRPr="00DB7230">
              <w:rPr>
                <w:rFonts w:ascii="Arial" w:hAnsi="Arial" w:cs="Arial"/>
                <w:sz w:val="22"/>
                <w:szCs w:val="22"/>
              </w:rPr>
              <w:t xml:space="preserve"> </w:t>
            </w:r>
          </w:p>
        </w:tc>
      </w:tr>
      <w:tr w:rsidR="00D21497" w:rsidRPr="00DB7230" w14:paraId="05AC6D0B" w14:textId="77777777" w:rsidTr="6C4217BD">
        <w:trPr>
          <w:trHeight w:val="249"/>
        </w:trPr>
        <w:tc>
          <w:tcPr>
            <w:tcW w:w="2047" w:type="dxa"/>
          </w:tcPr>
          <w:p w14:paraId="00000073" w14:textId="77777777" w:rsidR="00D21497" w:rsidRPr="00DB7230" w:rsidRDefault="00D21497" w:rsidP="00D21497">
            <w:pPr>
              <w:tabs>
                <w:tab w:val="left" w:pos="-720"/>
              </w:tabs>
              <w:spacing w:before="96" w:after="96"/>
              <w:rPr>
                <w:rFonts w:ascii="Arial" w:hAnsi="Arial" w:cs="Arial"/>
                <w:b/>
                <w:sz w:val="22"/>
                <w:szCs w:val="22"/>
              </w:rPr>
            </w:pPr>
            <w:r w:rsidRPr="00DB7230">
              <w:rPr>
                <w:rFonts w:ascii="Arial" w:hAnsi="Arial" w:cs="Arial"/>
                <w:b/>
                <w:sz w:val="22"/>
                <w:szCs w:val="22"/>
              </w:rPr>
              <w:t>Patent Prosecution</w:t>
            </w:r>
          </w:p>
        </w:tc>
        <w:tc>
          <w:tcPr>
            <w:tcW w:w="12600" w:type="dxa"/>
          </w:tcPr>
          <w:p w14:paraId="00000074" w14:textId="04ADDB9E" w:rsidR="00D21497" w:rsidRPr="00DB7230" w:rsidRDefault="00D21497" w:rsidP="00F04CF4">
            <w:pPr>
              <w:tabs>
                <w:tab w:val="left" w:pos="-720"/>
              </w:tabs>
              <w:spacing w:after="96"/>
              <w:rPr>
                <w:rFonts w:ascii="Arial" w:hAnsi="Arial" w:cs="Arial"/>
                <w:sz w:val="22"/>
                <w:szCs w:val="22"/>
              </w:rPr>
            </w:pPr>
            <w:r w:rsidRPr="00DB7230">
              <w:rPr>
                <w:rFonts w:ascii="Arial" w:hAnsi="Arial" w:cs="Arial"/>
                <w:sz w:val="22"/>
                <w:szCs w:val="22"/>
              </w:rPr>
              <w:t xml:space="preserve">Licensor </w:t>
            </w:r>
            <w:r w:rsidR="00AE7FD5" w:rsidRPr="00DB7230">
              <w:rPr>
                <w:rFonts w:ascii="Arial" w:hAnsi="Arial" w:cs="Arial"/>
                <w:sz w:val="22"/>
                <w:szCs w:val="22"/>
              </w:rPr>
              <w:t>will</w:t>
            </w:r>
            <w:r w:rsidRPr="00DB7230">
              <w:rPr>
                <w:rFonts w:ascii="Arial" w:hAnsi="Arial" w:cs="Arial"/>
                <w:sz w:val="22"/>
                <w:szCs w:val="22"/>
              </w:rPr>
              <w:t xml:space="preserve"> have the right to control the preparation, filing, prosecution and maintenance of the Patent Rights, reexaminations, interferences, oppositions, and any other </w:t>
            </w:r>
            <w:r w:rsidRPr="00DB7230">
              <w:rPr>
                <w:rFonts w:ascii="Arial" w:hAnsi="Arial" w:cs="Arial"/>
                <w:i/>
                <w:sz w:val="22"/>
                <w:szCs w:val="22"/>
              </w:rPr>
              <w:t xml:space="preserve">ex </w:t>
            </w:r>
            <w:proofErr w:type="spellStart"/>
            <w:r w:rsidRPr="00DB7230">
              <w:rPr>
                <w:rFonts w:ascii="Arial" w:hAnsi="Arial" w:cs="Arial"/>
                <w:i/>
                <w:sz w:val="22"/>
                <w:szCs w:val="22"/>
              </w:rPr>
              <w:t>parte</w:t>
            </w:r>
            <w:proofErr w:type="spellEnd"/>
            <w:r w:rsidRPr="00DB7230">
              <w:rPr>
                <w:rFonts w:ascii="Arial" w:hAnsi="Arial" w:cs="Arial"/>
                <w:sz w:val="22"/>
                <w:szCs w:val="22"/>
              </w:rPr>
              <w:t xml:space="preserve"> or </w:t>
            </w:r>
            <w:r w:rsidRPr="00DB7230">
              <w:rPr>
                <w:rFonts w:ascii="Arial" w:hAnsi="Arial" w:cs="Arial"/>
                <w:i/>
                <w:sz w:val="22"/>
                <w:szCs w:val="22"/>
              </w:rPr>
              <w:t>inter partes</w:t>
            </w:r>
            <w:r w:rsidRPr="00DB7230">
              <w:rPr>
                <w:rFonts w:ascii="Arial" w:hAnsi="Arial" w:cs="Arial"/>
                <w:sz w:val="22"/>
                <w:szCs w:val="22"/>
              </w:rPr>
              <w:t xml:space="preserve"> matters (e.g., </w:t>
            </w:r>
            <w:r w:rsidRPr="00DB7230">
              <w:rPr>
                <w:rFonts w:ascii="Arial" w:hAnsi="Arial" w:cs="Arial"/>
                <w:i/>
                <w:sz w:val="22"/>
                <w:szCs w:val="22"/>
              </w:rPr>
              <w:t>inter partes</w:t>
            </w:r>
            <w:r w:rsidRPr="00DB7230">
              <w:rPr>
                <w:rFonts w:ascii="Arial" w:hAnsi="Arial" w:cs="Arial"/>
                <w:sz w:val="22"/>
                <w:szCs w:val="22"/>
              </w:rPr>
              <w:t xml:space="preserve"> reviews) originating or conducted in a patent office (“</w:t>
            </w:r>
            <w:r w:rsidRPr="00DB7230">
              <w:rPr>
                <w:rFonts w:ascii="Arial" w:hAnsi="Arial" w:cs="Arial"/>
                <w:b/>
                <w:sz w:val="22"/>
                <w:szCs w:val="22"/>
              </w:rPr>
              <w:t>Patent Actions</w:t>
            </w:r>
            <w:r w:rsidRPr="00DB7230">
              <w:rPr>
                <w:rFonts w:ascii="Arial" w:hAnsi="Arial" w:cs="Arial"/>
                <w:sz w:val="22"/>
                <w:szCs w:val="22"/>
              </w:rPr>
              <w:t xml:space="preserve">”), using outside counsel reasonably satisfactory to Licensee. Licensor </w:t>
            </w:r>
            <w:r w:rsidR="00AE7FD5" w:rsidRPr="00DB7230">
              <w:rPr>
                <w:rFonts w:ascii="Arial" w:hAnsi="Arial" w:cs="Arial"/>
                <w:sz w:val="22"/>
                <w:szCs w:val="22"/>
              </w:rPr>
              <w:t>will</w:t>
            </w:r>
            <w:r w:rsidRPr="00DB7230">
              <w:rPr>
                <w:rFonts w:ascii="Arial" w:hAnsi="Arial" w:cs="Arial"/>
                <w:sz w:val="22"/>
                <w:szCs w:val="22"/>
              </w:rPr>
              <w:t xml:space="preserve"> (a) instruct Licensor’s patent counsel to furnish to Licensee copies of material documents relevant to such Patent Actions before any deadlines; (b) allow Licensee a reasonable opportunity to comment on material documents </w:t>
            </w:r>
            <w:r w:rsidR="00DB1D64">
              <w:rPr>
                <w:rFonts w:ascii="Arial" w:hAnsi="Arial" w:cs="Arial"/>
                <w:sz w:val="22"/>
                <w:szCs w:val="22"/>
              </w:rPr>
              <w:t xml:space="preserve">to be </w:t>
            </w:r>
            <w:r w:rsidRPr="00DB7230">
              <w:rPr>
                <w:rFonts w:ascii="Arial" w:hAnsi="Arial" w:cs="Arial"/>
                <w:sz w:val="22"/>
                <w:szCs w:val="22"/>
              </w:rPr>
              <w:t>filed with respect to such Patent Actions</w:t>
            </w:r>
            <w:r w:rsidR="00DB1D64">
              <w:rPr>
                <w:rFonts w:ascii="Arial" w:hAnsi="Arial" w:cs="Arial"/>
                <w:sz w:val="22"/>
                <w:szCs w:val="22"/>
              </w:rPr>
              <w:t xml:space="preserve"> prior to any such filing being made</w:t>
            </w:r>
            <w:r w:rsidRPr="00DB7230">
              <w:rPr>
                <w:rFonts w:ascii="Arial" w:hAnsi="Arial" w:cs="Arial"/>
                <w:sz w:val="22"/>
                <w:szCs w:val="22"/>
              </w:rPr>
              <w:t xml:space="preserve">; and (c) take into reasonable consideration such comments from Licensee. </w:t>
            </w:r>
            <w:proofErr w:type="gramStart"/>
            <w:r w:rsidRPr="00DB7230">
              <w:rPr>
                <w:rFonts w:ascii="Arial" w:hAnsi="Arial" w:cs="Arial"/>
                <w:sz w:val="22"/>
                <w:szCs w:val="22"/>
              </w:rPr>
              <w:t>Licensee</w:t>
            </w:r>
            <w:proofErr w:type="gramEnd"/>
            <w:r w:rsidRPr="00DB7230">
              <w:rPr>
                <w:rFonts w:ascii="Arial" w:hAnsi="Arial" w:cs="Arial"/>
                <w:sz w:val="22"/>
                <w:szCs w:val="22"/>
              </w:rPr>
              <w:t xml:space="preserve"> </w:t>
            </w:r>
            <w:r w:rsidR="00AE7FD5" w:rsidRPr="00DB7230">
              <w:rPr>
                <w:rFonts w:ascii="Arial" w:hAnsi="Arial" w:cs="Arial"/>
                <w:sz w:val="22"/>
                <w:szCs w:val="22"/>
              </w:rPr>
              <w:t>will</w:t>
            </w:r>
            <w:r w:rsidRPr="00DB7230">
              <w:rPr>
                <w:rFonts w:ascii="Arial" w:hAnsi="Arial" w:cs="Arial"/>
                <w:sz w:val="22"/>
                <w:szCs w:val="22"/>
              </w:rPr>
              <w:t xml:space="preserve">, to the fullest extent permitted by law, apply for and prosecute, or support in any reasonable way Licensor’s application for, any reasonable patent term extension for patents included in the Patent Rights.   </w:t>
            </w:r>
          </w:p>
          <w:p w14:paraId="00000075" w14:textId="69354122" w:rsidR="00D21497" w:rsidRPr="00DB7230" w:rsidRDefault="00D21497" w:rsidP="00D21497">
            <w:pPr>
              <w:tabs>
                <w:tab w:val="left" w:pos="-720"/>
              </w:tabs>
              <w:spacing w:before="96" w:after="96"/>
              <w:rPr>
                <w:rFonts w:ascii="Arial" w:hAnsi="Arial" w:cs="Arial"/>
                <w:sz w:val="22"/>
                <w:szCs w:val="22"/>
              </w:rPr>
            </w:pPr>
            <w:r w:rsidRPr="00DB7230">
              <w:rPr>
                <w:rFonts w:ascii="Arial" w:hAnsi="Arial" w:cs="Arial"/>
                <w:sz w:val="22"/>
                <w:szCs w:val="22"/>
              </w:rPr>
              <w:t xml:space="preserve">So long as Licensee reimburses Licensor for Patent Costs, Licensor </w:t>
            </w:r>
            <w:r w:rsidR="00AE7FD5" w:rsidRPr="00DB7230">
              <w:rPr>
                <w:rFonts w:ascii="Arial" w:hAnsi="Arial" w:cs="Arial"/>
                <w:sz w:val="22"/>
                <w:szCs w:val="22"/>
              </w:rPr>
              <w:t>will</w:t>
            </w:r>
            <w:r w:rsidRPr="00DB7230">
              <w:rPr>
                <w:rFonts w:ascii="Arial" w:hAnsi="Arial" w:cs="Arial"/>
                <w:sz w:val="22"/>
                <w:szCs w:val="22"/>
              </w:rPr>
              <w:t xml:space="preserve"> continue to prosecute and maintain the Patent Rights in the countries selected by Licensee.</w:t>
            </w:r>
            <w:r w:rsidR="00F46FF8" w:rsidRPr="00DB7230">
              <w:rPr>
                <w:rFonts w:ascii="Arial" w:hAnsi="Arial" w:cs="Arial"/>
                <w:sz w:val="22"/>
                <w:szCs w:val="22"/>
              </w:rPr>
              <w:t xml:space="preserve"> </w:t>
            </w:r>
          </w:p>
          <w:p w14:paraId="00000076" w14:textId="3988861E" w:rsidR="00D21497" w:rsidRPr="00DB7230" w:rsidRDefault="00D21497" w:rsidP="00D21497">
            <w:pPr>
              <w:tabs>
                <w:tab w:val="left" w:pos="-720"/>
              </w:tabs>
              <w:spacing w:before="96" w:after="96"/>
              <w:rPr>
                <w:rFonts w:ascii="Arial" w:hAnsi="Arial" w:cs="Arial"/>
                <w:sz w:val="22"/>
                <w:szCs w:val="22"/>
              </w:rPr>
            </w:pPr>
            <w:r w:rsidRPr="00DB7230">
              <w:rPr>
                <w:rFonts w:ascii="Arial" w:hAnsi="Arial" w:cs="Arial"/>
                <w:sz w:val="22"/>
                <w:szCs w:val="22"/>
              </w:rPr>
              <w:t>Subject to the terms of this section, with the consent of Licensor (such consent not to be unreasonably withheld)</w:t>
            </w:r>
            <w:r w:rsidR="006E0573" w:rsidRPr="00DB7230">
              <w:rPr>
                <w:rFonts w:ascii="Arial" w:hAnsi="Arial" w:cs="Arial"/>
                <w:sz w:val="22"/>
                <w:szCs w:val="22"/>
              </w:rPr>
              <w:t>,</w:t>
            </w:r>
            <w:r w:rsidRPr="00DB7230">
              <w:rPr>
                <w:rFonts w:ascii="Arial" w:hAnsi="Arial" w:cs="Arial"/>
                <w:sz w:val="22"/>
                <w:szCs w:val="22"/>
              </w:rPr>
              <w:t xml:space="preserve"> Licensee has the right, on a country-by-country basis, to elect to not reimburse Licensor for </w:t>
            </w:r>
            <w:r w:rsidR="00AE5599" w:rsidRPr="00DB7230">
              <w:rPr>
                <w:rFonts w:ascii="Arial" w:hAnsi="Arial" w:cs="Arial"/>
                <w:sz w:val="22"/>
                <w:szCs w:val="22"/>
              </w:rPr>
              <w:t>Patent Costs</w:t>
            </w:r>
            <w:r w:rsidRPr="00DB7230">
              <w:rPr>
                <w:rFonts w:ascii="Arial" w:hAnsi="Arial" w:cs="Arial"/>
                <w:sz w:val="22"/>
                <w:szCs w:val="22"/>
              </w:rPr>
              <w:t xml:space="preserve"> related to a particular </w:t>
            </w:r>
            <w:r w:rsidR="00AE5599" w:rsidRPr="00DB7230">
              <w:rPr>
                <w:rFonts w:ascii="Arial" w:hAnsi="Arial" w:cs="Arial"/>
                <w:sz w:val="22"/>
                <w:szCs w:val="22"/>
              </w:rPr>
              <w:t>Patent Action</w:t>
            </w:r>
            <w:r w:rsidRPr="00DB7230">
              <w:rPr>
                <w:rFonts w:ascii="Arial" w:hAnsi="Arial" w:cs="Arial"/>
                <w:sz w:val="22"/>
                <w:szCs w:val="22"/>
              </w:rPr>
              <w:t xml:space="preserve">. If Licensee makes such an election, Licensee </w:t>
            </w:r>
            <w:r w:rsidR="00AE7FD5" w:rsidRPr="00DB7230">
              <w:rPr>
                <w:rFonts w:ascii="Arial" w:hAnsi="Arial" w:cs="Arial"/>
                <w:sz w:val="22"/>
                <w:szCs w:val="22"/>
              </w:rPr>
              <w:t>will</w:t>
            </w:r>
            <w:r w:rsidRPr="00DB7230">
              <w:rPr>
                <w:rFonts w:ascii="Arial" w:hAnsi="Arial" w:cs="Arial"/>
                <w:sz w:val="22"/>
                <w:szCs w:val="22"/>
              </w:rPr>
              <w:t xml:space="preserve"> provide reasonable</w:t>
            </w:r>
            <w:r w:rsidR="004615D2" w:rsidRPr="00DB7230">
              <w:rPr>
                <w:rFonts w:ascii="Arial" w:hAnsi="Arial" w:cs="Arial"/>
                <w:sz w:val="22"/>
                <w:szCs w:val="22"/>
              </w:rPr>
              <w:t xml:space="preserve"> advance</w:t>
            </w:r>
            <w:r w:rsidRPr="00DB7230">
              <w:rPr>
                <w:rFonts w:ascii="Arial" w:hAnsi="Arial" w:cs="Arial"/>
                <w:sz w:val="22"/>
                <w:szCs w:val="22"/>
              </w:rPr>
              <w:t xml:space="preserve"> notice to Licensor in writing, such notice to be at least </w:t>
            </w:r>
            <w:r w:rsidR="00140543" w:rsidRPr="00DB7230">
              <w:rPr>
                <w:rFonts w:ascii="Arial" w:hAnsi="Arial" w:cs="Arial"/>
                <w:sz w:val="22"/>
                <w:szCs w:val="22"/>
              </w:rPr>
              <w:t xml:space="preserve">90 </w:t>
            </w:r>
            <w:r w:rsidRPr="00DB7230">
              <w:rPr>
                <w:rFonts w:ascii="Arial" w:hAnsi="Arial" w:cs="Arial"/>
                <w:sz w:val="22"/>
                <w:szCs w:val="22"/>
              </w:rPr>
              <w:t xml:space="preserve">days prior to any </w:t>
            </w:r>
            <w:r w:rsidR="00AE5599" w:rsidRPr="00DB7230">
              <w:rPr>
                <w:rFonts w:ascii="Arial" w:hAnsi="Arial" w:cs="Arial"/>
                <w:sz w:val="22"/>
                <w:szCs w:val="22"/>
              </w:rPr>
              <w:t>such Patent Action</w:t>
            </w:r>
            <w:r w:rsidRPr="00DB7230">
              <w:rPr>
                <w:rFonts w:ascii="Arial" w:hAnsi="Arial" w:cs="Arial"/>
                <w:sz w:val="22"/>
                <w:szCs w:val="22"/>
              </w:rPr>
              <w:t>.</w:t>
            </w:r>
            <w:r w:rsidRPr="00DB7230">
              <w:rPr>
                <w:rFonts w:ascii="Arial" w:hAnsi="Arial" w:cs="Arial"/>
                <w:sz w:val="22"/>
                <w:szCs w:val="22"/>
                <w:vertAlign w:val="superscript"/>
              </w:rPr>
              <w:t xml:space="preserve"> </w:t>
            </w:r>
            <w:r w:rsidRPr="00DB7230">
              <w:rPr>
                <w:rFonts w:ascii="Arial" w:hAnsi="Arial" w:cs="Arial"/>
                <w:sz w:val="22"/>
                <w:szCs w:val="22"/>
                <w:vertAlign w:val="superscript"/>
              </w:rPr>
              <w:footnoteReference w:id="30"/>
            </w:r>
            <w:r w:rsidRPr="00DB7230">
              <w:rPr>
                <w:rFonts w:ascii="Arial" w:hAnsi="Arial" w:cs="Arial"/>
                <w:sz w:val="22"/>
                <w:szCs w:val="22"/>
                <w:vertAlign w:val="superscript"/>
              </w:rPr>
              <w:t xml:space="preserve"> </w:t>
            </w:r>
            <w:r w:rsidRPr="00DB7230">
              <w:rPr>
                <w:rFonts w:ascii="Arial" w:hAnsi="Arial" w:cs="Arial"/>
                <w:sz w:val="22"/>
                <w:szCs w:val="22"/>
              </w:rPr>
              <w:t xml:space="preserve"> Upon </w:t>
            </w:r>
            <w:r w:rsidR="00DB1D64">
              <w:rPr>
                <w:rFonts w:ascii="Arial" w:hAnsi="Arial" w:cs="Arial"/>
                <w:sz w:val="22"/>
                <w:szCs w:val="22"/>
              </w:rPr>
              <w:t xml:space="preserve">the expiration of </w:t>
            </w:r>
            <w:r w:rsidRPr="00DB7230">
              <w:rPr>
                <w:rFonts w:ascii="Arial" w:hAnsi="Arial" w:cs="Arial"/>
                <w:sz w:val="22"/>
                <w:szCs w:val="22"/>
              </w:rPr>
              <w:t>such notice</w:t>
            </w:r>
            <w:r w:rsidR="00DB1D64">
              <w:rPr>
                <w:rFonts w:ascii="Arial" w:hAnsi="Arial" w:cs="Arial"/>
                <w:sz w:val="22"/>
                <w:szCs w:val="22"/>
              </w:rPr>
              <w:t xml:space="preserve"> period</w:t>
            </w:r>
            <w:r w:rsidRPr="00DB7230">
              <w:rPr>
                <w:rFonts w:ascii="Arial" w:hAnsi="Arial" w:cs="Arial"/>
                <w:sz w:val="22"/>
                <w:szCs w:val="22"/>
              </w:rPr>
              <w:t xml:space="preserve">, such patent application(s) and patent(s) thereafter are and </w:t>
            </w:r>
            <w:r w:rsidR="00AE7FD5" w:rsidRPr="00DB7230">
              <w:rPr>
                <w:rFonts w:ascii="Arial" w:hAnsi="Arial" w:cs="Arial"/>
                <w:sz w:val="22"/>
                <w:szCs w:val="22"/>
              </w:rPr>
              <w:t>will</w:t>
            </w:r>
            <w:r w:rsidRPr="00DB7230">
              <w:rPr>
                <w:rFonts w:ascii="Arial" w:hAnsi="Arial" w:cs="Arial"/>
                <w:sz w:val="22"/>
                <w:szCs w:val="22"/>
              </w:rPr>
              <w:t xml:space="preserve"> be excluded from the definition of Patent Rights without further notice. </w:t>
            </w:r>
            <w:r w:rsidR="001A29C8" w:rsidRPr="00DB7230">
              <w:rPr>
                <w:rFonts w:ascii="Arial" w:hAnsi="Arial" w:cs="Arial"/>
                <w:sz w:val="22"/>
                <w:szCs w:val="22"/>
              </w:rPr>
              <w:t>U</w:t>
            </w:r>
            <w:r w:rsidRPr="00DB7230">
              <w:rPr>
                <w:rFonts w:ascii="Arial" w:hAnsi="Arial" w:cs="Arial"/>
                <w:sz w:val="22"/>
                <w:szCs w:val="22"/>
              </w:rPr>
              <w:t xml:space="preserve">nder such circumstances, Licensor may elect to </w:t>
            </w:r>
            <w:r w:rsidR="00C94892" w:rsidRPr="00DB7230">
              <w:rPr>
                <w:rFonts w:ascii="Arial" w:hAnsi="Arial" w:cs="Arial"/>
                <w:sz w:val="22"/>
                <w:szCs w:val="22"/>
              </w:rPr>
              <w:t xml:space="preserve">abandon or </w:t>
            </w:r>
            <w:r w:rsidRPr="00DB7230">
              <w:rPr>
                <w:rFonts w:ascii="Arial" w:hAnsi="Arial" w:cs="Arial"/>
                <w:sz w:val="22"/>
                <w:szCs w:val="22"/>
              </w:rPr>
              <w:t xml:space="preserve">continue the prosecution and/or maintenance of such application(s) or patent(s) at its sole or subsequent partner’s expense. </w:t>
            </w:r>
            <w:r w:rsidR="00AE5599" w:rsidRPr="00DB7230">
              <w:rPr>
                <w:rFonts w:ascii="Arial" w:hAnsi="Arial" w:cs="Arial"/>
                <w:sz w:val="22"/>
                <w:szCs w:val="22"/>
              </w:rPr>
              <w:t>If Licensee fails to provide such notice and Licensor incurs Patent Costs in respect of such Patent Action, then Licensee shall be responsible for such Patent Costs.</w:t>
            </w:r>
          </w:p>
        </w:tc>
      </w:tr>
      <w:tr w:rsidR="00D21497" w:rsidRPr="00DB7230" w14:paraId="270F1EFB" w14:textId="77777777" w:rsidTr="6C4217BD">
        <w:trPr>
          <w:trHeight w:val="249"/>
        </w:trPr>
        <w:tc>
          <w:tcPr>
            <w:tcW w:w="2047" w:type="dxa"/>
          </w:tcPr>
          <w:p w14:paraId="00000077" w14:textId="77777777" w:rsidR="00D21497" w:rsidRPr="00DB7230" w:rsidRDefault="00D21497" w:rsidP="00D21497">
            <w:pPr>
              <w:tabs>
                <w:tab w:val="left" w:pos="-720"/>
              </w:tabs>
              <w:spacing w:before="96" w:after="96"/>
              <w:rPr>
                <w:rFonts w:ascii="Arial" w:hAnsi="Arial" w:cs="Arial"/>
                <w:b/>
                <w:sz w:val="22"/>
                <w:szCs w:val="22"/>
              </w:rPr>
            </w:pPr>
            <w:r w:rsidRPr="00DB7230">
              <w:rPr>
                <w:rFonts w:ascii="Arial" w:hAnsi="Arial" w:cs="Arial"/>
                <w:b/>
                <w:sz w:val="22"/>
                <w:szCs w:val="22"/>
              </w:rPr>
              <w:t xml:space="preserve">Patent Expense Reimbursement </w:t>
            </w:r>
          </w:p>
        </w:tc>
        <w:tc>
          <w:tcPr>
            <w:tcW w:w="12600" w:type="dxa"/>
          </w:tcPr>
          <w:p w14:paraId="00000078" w14:textId="559E8ADD" w:rsidR="00D21497" w:rsidRPr="00DB7230" w:rsidRDefault="00D21497" w:rsidP="00F04CF4">
            <w:pPr>
              <w:tabs>
                <w:tab w:val="left" w:pos="-720"/>
              </w:tabs>
              <w:spacing w:after="96"/>
              <w:rPr>
                <w:rFonts w:ascii="Arial" w:hAnsi="Arial" w:cs="Arial"/>
                <w:sz w:val="22"/>
                <w:szCs w:val="22"/>
              </w:rPr>
            </w:pPr>
            <w:proofErr w:type="gramStart"/>
            <w:r w:rsidRPr="00DB7230">
              <w:rPr>
                <w:rFonts w:ascii="Arial" w:hAnsi="Arial" w:cs="Arial"/>
                <w:sz w:val="22"/>
                <w:szCs w:val="22"/>
              </w:rPr>
              <w:t>Licensee</w:t>
            </w:r>
            <w:proofErr w:type="gramEnd"/>
            <w:r w:rsidRPr="00DB7230">
              <w:rPr>
                <w:rFonts w:ascii="Arial" w:hAnsi="Arial" w:cs="Arial"/>
                <w:sz w:val="22"/>
                <w:szCs w:val="22"/>
              </w:rPr>
              <w:t xml:space="preserve"> </w:t>
            </w:r>
            <w:r w:rsidR="00AE7FD5" w:rsidRPr="00DB7230">
              <w:rPr>
                <w:rFonts w:ascii="Arial" w:hAnsi="Arial" w:cs="Arial"/>
                <w:sz w:val="22"/>
                <w:szCs w:val="22"/>
              </w:rPr>
              <w:t>will</w:t>
            </w:r>
            <w:r w:rsidRPr="00DB7230">
              <w:rPr>
                <w:rFonts w:ascii="Arial" w:hAnsi="Arial" w:cs="Arial"/>
                <w:sz w:val="22"/>
                <w:szCs w:val="22"/>
              </w:rPr>
              <w:t xml:space="preserve"> bear all out-of-pocket costs incurred by Licensor for Patent Actions (“</w:t>
            </w:r>
            <w:r w:rsidRPr="00DB7230">
              <w:rPr>
                <w:rFonts w:ascii="Arial" w:hAnsi="Arial" w:cs="Arial"/>
                <w:b/>
                <w:sz w:val="22"/>
                <w:szCs w:val="22"/>
              </w:rPr>
              <w:t>Patent Costs</w:t>
            </w:r>
            <w:r w:rsidRPr="00DB7230">
              <w:rPr>
                <w:rFonts w:ascii="Arial" w:hAnsi="Arial" w:cs="Arial"/>
                <w:sz w:val="22"/>
                <w:szCs w:val="22"/>
              </w:rPr>
              <w:t xml:space="preserve">”). Licensee </w:t>
            </w:r>
            <w:r w:rsidR="00AE7FD5" w:rsidRPr="00DB7230">
              <w:rPr>
                <w:rFonts w:ascii="Arial" w:hAnsi="Arial" w:cs="Arial"/>
                <w:sz w:val="22"/>
                <w:szCs w:val="22"/>
              </w:rPr>
              <w:t>will</w:t>
            </w:r>
            <w:r w:rsidRPr="00DB7230">
              <w:rPr>
                <w:rFonts w:ascii="Arial" w:hAnsi="Arial" w:cs="Arial"/>
                <w:sz w:val="22"/>
                <w:szCs w:val="22"/>
              </w:rPr>
              <w:t xml:space="preserve"> reimburse Licensor [within 30 days after Licensee’s receipt of an invoice from Licensor] for Patent Costs incurred by Licensor before the Effective Date and during the term of the License Agreement.  Alternatively, if Licensor requests, Licensee </w:t>
            </w:r>
            <w:r w:rsidR="00AE7FD5" w:rsidRPr="00DB7230">
              <w:rPr>
                <w:rFonts w:ascii="Arial" w:hAnsi="Arial" w:cs="Arial"/>
                <w:sz w:val="22"/>
                <w:szCs w:val="22"/>
              </w:rPr>
              <w:t>will</w:t>
            </w:r>
            <w:r w:rsidRPr="00DB7230">
              <w:rPr>
                <w:rFonts w:ascii="Arial" w:hAnsi="Arial" w:cs="Arial"/>
                <w:sz w:val="22"/>
                <w:szCs w:val="22"/>
              </w:rPr>
              <w:t xml:space="preserve"> pay ongoing </w:t>
            </w:r>
            <w:r w:rsidRPr="00DB7230">
              <w:rPr>
                <w:rFonts w:ascii="Arial" w:hAnsi="Arial" w:cs="Arial"/>
                <w:sz w:val="22"/>
                <w:szCs w:val="22"/>
              </w:rPr>
              <w:lastRenderedPageBreak/>
              <w:t>Patent Costs in advance or under a reasonable direct billing arrangement with Licensor’s patent counsel.</w:t>
            </w:r>
            <w:r w:rsidRPr="00DB7230">
              <w:rPr>
                <w:rFonts w:ascii="Arial" w:hAnsi="Arial" w:cs="Arial"/>
                <w:sz w:val="22"/>
                <w:szCs w:val="22"/>
                <w:vertAlign w:val="superscript"/>
              </w:rPr>
              <w:footnoteReference w:id="31"/>
            </w:r>
            <w:r w:rsidRPr="00DB7230">
              <w:rPr>
                <w:rFonts w:ascii="Arial" w:hAnsi="Arial" w:cs="Arial"/>
                <w:sz w:val="22"/>
                <w:szCs w:val="22"/>
              </w:rPr>
              <w:t xml:space="preserve">  </w:t>
            </w:r>
            <w:r w:rsidR="00BC2298" w:rsidRPr="00DB7230">
              <w:rPr>
                <w:rFonts w:ascii="Arial" w:hAnsi="Arial" w:cs="Arial"/>
                <w:sz w:val="22"/>
                <w:szCs w:val="22"/>
              </w:rPr>
              <w:t>Licensor will provide Licensee with documentation of the Patent Costs.</w:t>
            </w:r>
          </w:p>
        </w:tc>
      </w:tr>
      <w:tr w:rsidR="00D21497" w:rsidRPr="00DB7230" w14:paraId="40009686" w14:textId="77777777" w:rsidTr="6C4217BD">
        <w:trPr>
          <w:trHeight w:val="249"/>
        </w:trPr>
        <w:tc>
          <w:tcPr>
            <w:tcW w:w="2047" w:type="dxa"/>
          </w:tcPr>
          <w:p w14:paraId="00000079" w14:textId="77777777" w:rsidR="00D21497" w:rsidRPr="00DB7230" w:rsidRDefault="00D21497" w:rsidP="00D21497">
            <w:pPr>
              <w:tabs>
                <w:tab w:val="left" w:pos="-720"/>
              </w:tabs>
              <w:spacing w:before="96" w:after="96"/>
              <w:rPr>
                <w:rFonts w:ascii="Arial" w:hAnsi="Arial" w:cs="Arial"/>
                <w:b/>
                <w:sz w:val="22"/>
                <w:szCs w:val="22"/>
              </w:rPr>
            </w:pPr>
            <w:r w:rsidRPr="00DB7230">
              <w:rPr>
                <w:rFonts w:ascii="Arial" w:hAnsi="Arial" w:cs="Arial"/>
                <w:b/>
                <w:sz w:val="22"/>
                <w:szCs w:val="22"/>
              </w:rPr>
              <w:lastRenderedPageBreak/>
              <w:t>Disclaimer of Warranties and Limitation of Liabilities</w:t>
            </w:r>
          </w:p>
        </w:tc>
        <w:tc>
          <w:tcPr>
            <w:tcW w:w="12600" w:type="dxa"/>
          </w:tcPr>
          <w:p w14:paraId="0000007A" w14:textId="6B53FDA9" w:rsidR="00D21497" w:rsidRPr="00DB7230" w:rsidRDefault="00DB1D64" w:rsidP="00F04CF4">
            <w:pPr>
              <w:tabs>
                <w:tab w:val="left" w:pos="-1440"/>
              </w:tabs>
              <w:spacing w:after="120"/>
              <w:rPr>
                <w:rFonts w:ascii="Arial" w:hAnsi="Arial" w:cs="Arial"/>
                <w:sz w:val="22"/>
                <w:szCs w:val="22"/>
              </w:rPr>
            </w:pPr>
            <w:r>
              <w:rPr>
                <w:rFonts w:ascii="Arial" w:hAnsi="Arial" w:cs="Arial"/>
                <w:caps/>
                <w:sz w:val="22"/>
                <w:szCs w:val="22"/>
              </w:rPr>
              <w:t xml:space="preserve">except as otherwise provided in this agreement, </w:t>
            </w:r>
            <w:r w:rsidR="00D21497" w:rsidRPr="00DB7230">
              <w:rPr>
                <w:rFonts w:ascii="Arial" w:hAnsi="Arial" w:cs="Arial"/>
                <w:caps/>
                <w:sz w:val="22"/>
                <w:szCs w:val="22"/>
              </w:rPr>
              <w:t xml:space="preserve">Licensed </w:t>
            </w:r>
            <w:r w:rsidR="00A673EE" w:rsidRPr="00DB7230">
              <w:rPr>
                <w:rFonts w:ascii="Arial" w:hAnsi="Arial" w:cs="Arial"/>
                <w:caps/>
                <w:sz w:val="22"/>
                <w:szCs w:val="22"/>
              </w:rPr>
              <w:t>TECHNOLOGY</w:t>
            </w:r>
            <w:r w:rsidR="000F6440" w:rsidRPr="00DB7230">
              <w:rPr>
                <w:rFonts w:ascii="Arial" w:hAnsi="Arial" w:cs="Arial"/>
                <w:caps/>
                <w:sz w:val="22"/>
                <w:szCs w:val="22"/>
              </w:rPr>
              <w:t xml:space="preserve"> </w:t>
            </w:r>
            <w:r w:rsidR="00BC2298" w:rsidRPr="00DB7230">
              <w:rPr>
                <w:rFonts w:ascii="Arial" w:hAnsi="Arial" w:cs="Arial"/>
                <w:caps/>
                <w:sz w:val="22"/>
                <w:szCs w:val="22"/>
              </w:rPr>
              <w:t>is</w:t>
            </w:r>
            <w:r w:rsidR="00D21497" w:rsidRPr="00DB7230">
              <w:rPr>
                <w:rFonts w:ascii="Arial" w:hAnsi="Arial" w:cs="Arial"/>
                <w:caps/>
                <w:sz w:val="22"/>
                <w:szCs w:val="22"/>
              </w:rPr>
              <w:t xml:space="preserve"> provided by </w:t>
            </w:r>
            <w:proofErr w:type="gramStart"/>
            <w:r w:rsidR="00D21497" w:rsidRPr="00DB7230">
              <w:rPr>
                <w:rFonts w:ascii="Arial" w:hAnsi="Arial" w:cs="Arial"/>
                <w:caps/>
                <w:sz w:val="22"/>
                <w:szCs w:val="22"/>
              </w:rPr>
              <w:t>Licensor</w:t>
            </w:r>
            <w:proofErr w:type="gramEnd"/>
            <w:r w:rsidR="00D21497" w:rsidRPr="00DB7230">
              <w:rPr>
                <w:rFonts w:ascii="Arial" w:hAnsi="Arial" w:cs="Arial"/>
                <w:sz w:val="22"/>
                <w:szCs w:val="22"/>
              </w:rPr>
              <w:t xml:space="preserve"> WITHOUT WARRANTY OF MERCHANTABILITY OR FITNESS FOR A PARTICULAR PURPOSE OR ANY OTHER WARRANTY OF ANY KIND, EXPRESS OR IMPLIED.  LICENSOR MAKES NO EXPRESS OR IMPLIED REPRESENTATION OR WARRANTY THAT USE OR COMMERCIALIZATION OF THE PATENT RIGHTS OR LICENSED PRODUCTS OR NON-PATENT TECHNOLOGY WILL NOT INFRINGE ANY PATENT, COPYRIGHT, TRADEMARK OR OTHER RIGHTS.</w:t>
            </w:r>
          </w:p>
          <w:p w14:paraId="0000007B" w14:textId="59BA1C2D" w:rsidR="00D21497" w:rsidRPr="00A45278" w:rsidRDefault="00D21497" w:rsidP="00D21497">
            <w:pPr>
              <w:tabs>
                <w:tab w:val="left" w:pos="-1440"/>
              </w:tabs>
              <w:spacing w:before="120" w:after="120"/>
              <w:rPr>
                <w:rFonts w:ascii="Arial" w:hAnsi="Arial" w:cs="Arial"/>
                <w:caps/>
                <w:sz w:val="22"/>
                <w:szCs w:val="22"/>
              </w:rPr>
            </w:pPr>
            <w:r w:rsidRPr="00A45278">
              <w:rPr>
                <w:rFonts w:ascii="Arial" w:hAnsi="Arial" w:cs="Arial"/>
                <w:caps/>
                <w:sz w:val="22"/>
                <w:szCs w:val="22"/>
              </w:rPr>
              <w:t xml:space="preserve">Except as otherwise provided in the License Agreement, the License Agreement does not imply (a) a warranty or representation as to the validity, enforceability, or scope of any Patent Rights; </w:t>
            </w:r>
            <w:sdt>
              <w:sdtPr>
                <w:rPr>
                  <w:rFonts w:ascii="Arial" w:hAnsi="Arial" w:cs="Arial"/>
                  <w:caps/>
                  <w:sz w:val="22"/>
                  <w:szCs w:val="22"/>
                </w:rPr>
                <w:tag w:val="goog_rdk_0"/>
                <w:id w:val="513656230"/>
              </w:sdtPr>
              <w:sdtContent/>
            </w:sdt>
            <w:r w:rsidRPr="00A45278">
              <w:rPr>
                <w:rFonts w:ascii="Arial" w:hAnsi="Arial" w:cs="Arial"/>
                <w:caps/>
                <w:sz w:val="22"/>
                <w:szCs w:val="22"/>
              </w:rPr>
              <w:t>(b) by implication, estoppel or otherwise, any grant of any license under any patents other than the Patent Rights or under any other rights other than the Licensed Know-How of Licensor, regardless of whether such patents or other rights are dominant or subordinate to Patent Rights.</w:t>
            </w:r>
          </w:p>
          <w:p w14:paraId="0000007D" w14:textId="2D089F1C" w:rsidR="00D21497" w:rsidRPr="00DB7230" w:rsidRDefault="00D21497" w:rsidP="00D21497">
            <w:pPr>
              <w:tabs>
                <w:tab w:val="left" w:pos="-1440"/>
              </w:tabs>
              <w:spacing w:before="120" w:after="120"/>
              <w:rPr>
                <w:rFonts w:ascii="Arial" w:hAnsi="Arial" w:cs="Arial"/>
                <w:sz w:val="22"/>
                <w:szCs w:val="22"/>
              </w:rPr>
            </w:pPr>
            <w:r w:rsidRPr="00A45278">
              <w:rPr>
                <w:rFonts w:ascii="Arial" w:hAnsi="Arial" w:cs="Arial"/>
                <w:caps/>
                <w:sz w:val="22"/>
                <w:szCs w:val="22"/>
              </w:rPr>
              <w:t xml:space="preserve">In no event </w:t>
            </w:r>
            <w:r w:rsidR="00AE7FD5" w:rsidRPr="00A45278">
              <w:rPr>
                <w:rFonts w:ascii="Arial" w:hAnsi="Arial" w:cs="Arial"/>
                <w:caps/>
                <w:sz w:val="22"/>
                <w:szCs w:val="22"/>
              </w:rPr>
              <w:t xml:space="preserve">will </w:t>
            </w:r>
            <w:r w:rsidRPr="00A45278">
              <w:rPr>
                <w:rFonts w:ascii="Arial" w:hAnsi="Arial" w:cs="Arial"/>
                <w:caps/>
                <w:sz w:val="22"/>
                <w:szCs w:val="22"/>
              </w:rPr>
              <w:t>either party be responsible or liable for any indirect, special, incidental, or consequential damages or lost profits or other economic loss or damage regardless of legal or equitable theory.  The above limitations on liability apply even if the other party may have been advised of the possibility of such damage.</w:t>
            </w:r>
            <w:r w:rsidRPr="00A45278">
              <w:rPr>
                <w:rStyle w:val="FootnoteReference"/>
                <w:rFonts w:ascii="Arial" w:hAnsi="Arial" w:cs="Arial"/>
                <w:caps/>
                <w:sz w:val="22"/>
                <w:szCs w:val="22"/>
              </w:rPr>
              <w:footnoteReference w:id="32"/>
            </w:r>
            <w:r w:rsidRPr="00DB7230">
              <w:rPr>
                <w:rFonts w:ascii="Arial" w:hAnsi="Arial" w:cs="Arial"/>
                <w:sz w:val="22"/>
                <w:szCs w:val="22"/>
              </w:rPr>
              <w:t xml:space="preserve">  </w:t>
            </w:r>
          </w:p>
        </w:tc>
      </w:tr>
      <w:tr w:rsidR="00D21497" w:rsidRPr="00DB7230" w14:paraId="719B63C0" w14:textId="77777777" w:rsidTr="6C4217BD">
        <w:trPr>
          <w:trHeight w:val="249"/>
        </w:trPr>
        <w:tc>
          <w:tcPr>
            <w:tcW w:w="2047" w:type="dxa"/>
          </w:tcPr>
          <w:p w14:paraId="0000007E" w14:textId="74BA4554" w:rsidR="00D21497" w:rsidRPr="00DB7230" w:rsidRDefault="00D21497" w:rsidP="00D21497">
            <w:pPr>
              <w:tabs>
                <w:tab w:val="left" w:pos="-720"/>
              </w:tabs>
              <w:spacing w:before="96" w:after="96"/>
              <w:rPr>
                <w:rFonts w:ascii="Arial" w:hAnsi="Arial" w:cs="Arial"/>
                <w:b/>
                <w:sz w:val="22"/>
                <w:szCs w:val="22"/>
              </w:rPr>
            </w:pPr>
            <w:r w:rsidRPr="00DB7230">
              <w:rPr>
                <w:rFonts w:ascii="Arial" w:hAnsi="Arial" w:cs="Arial"/>
                <w:b/>
                <w:sz w:val="22"/>
                <w:szCs w:val="22"/>
              </w:rPr>
              <w:t>Indemnification and Insurance</w:t>
            </w:r>
            <w:r w:rsidRPr="00DB7230">
              <w:rPr>
                <w:rStyle w:val="FootnoteReference"/>
                <w:rFonts w:ascii="Arial" w:hAnsi="Arial" w:cs="Arial"/>
                <w:b/>
                <w:sz w:val="22"/>
                <w:szCs w:val="22"/>
              </w:rPr>
              <w:footnoteReference w:id="33"/>
            </w:r>
          </w:p>
        </w:tc>
        <w:tc>
          <w:tcPr>
            <w:tcW w:w="12600" w:type="dxa"/>
          </w:tcPr>
          <w:p w14:paraId="00000081" w14:textId="4BAC2CA1" w:rsidR="00D21497" w:rsidRPr="00DB7230" w:rsidRDefault="00D21497" w:rsidP="00D21497">
            <w:pPr>
              <w:tabs>
                <w:tab w:val="left" w:pos="-1440"/>
              </w:tabs>
              <w:spacing w:before="120" w:after="120"/>
              <w:rPr>
                <w:rFonts w:ascii="Arial" w:hAnsi="Arial" w:cs="Arial"/>
                <w:sz w:val="22"/>
                <w:szCs w:val="22"/>
              </w:rPr>
            </w:pPr>
          </w:p>
        </w:tc>
      </w:tr>
      <w:tr w:rsidR="00D21497" w:rsidRPr="00DB7230" w14:paraId="714EAB1E" w14:textId="77777777" w:rsidTr="6C4217BD">
        <w:trPr>
          <w:trHeight w:val="249"/>
        </w:trPr>
        <w:tc>
          <w:tcPr>
            <w:tcW w:w="2047" w:type="dxa"/>
          </w:tcPr>
          <w:p w14:paraId="00000082" w14:textId="2C9DD8F9" w:rsidR="00D21497" w:rsidRPr="00DB7230" w:rsidRDefault="00D21497" w:rsidP="00D21497">
            <w:pPr>
              <w:tabs>
                <w:tab w:val="left" w:pos="-720"/>
              </w:tabs>
              <w:spacing w:before="96" w:after="96"/>
              <w:rPr>
                <w:rFonts w:ascii="Arial" w:hAnsi="Arial" w:cs="Arial"/>
                <w:b/>
                <w:sz w:val="22"/>
                <w:szCs w:val="22"/>
              </w:rPr>
            </w:pPr>
            <w:r w:rsidRPr="00DB7230">
              <w:rPr>
                <w:rFonts w:ascii="Arial" w:hAnsi="Arial" w:cs="Arial"/>
                <w:b/>
                <w:sz w:val="22"/>
                <w:szCs w:val="22"/>
              </w:rPr>
              <w:t>Patent Challenges</w:t>
            </w:r>
          </w:p>
        </w:tc>
        <w:tc>
          <w:tcPr>
            <w:tcW w:w="12600" w:type="dxa"/>
          </w:tcPr>
          <w:p w14:paraId="00000083" w14:textId="6657EE8C" w:rsidR="00D21497" w:rsidRPr="00DB7230" w:rsidRDefault="00D21497" w:rsidP="00F04CF4">
            <w:pPr>
              <w:tabs>
                <w:tab w:val="left" w:pos="-1440"/>
              </w:tabs>
              <w:spacing w:after="120"/>
              <w:rPr>
                <w:rFonts w:ascii="Arial" w:hAnsi="Arial" w:cs="Arial"/>
                <w:sz w:val="22"/>
                <w:szCs w:val="22"/>
              </w:rPr>
            </w:pPr>
            <w:r w:rsidRPr="00DB7230">
              <w:rPr>
                <w:rFonts w:ascii="Arial" w:hAnsi="Arial" w:cs="Arial"/>
                <w:sz w:val="22"/>
                <w:szCs w:val="22"/>
              </w:rPr>
              <w:t xml:space="preserve">Licensee </w:t>
            </w:r>
            <w:r w:rsidR="00AE7FD5" w:rsidRPr="00DB7230">
              <w:rPr>
                <w:rFonts w:ascii="Arial" w:hAnsi="Arial" w:cs="Arial"/>
                <w:sz w:val="22"/>
                <w:szCs w:val="22"/>
              </w:rPr>
              <w:t>will</w:t>
            </w:r>
            <w:r w:rsidRPr="00DB7230">
              <w:rPr>
                <w:rFonts w:ascii="Arial" w:hAnsi="Arial" w:cs="Arial"/>
                <w:sz w:val="22"/>
                <w:szCs w:val="22"/>
              </w:rPr>
              <w:t xml:space="preserve"> provide written notice to Licensor at least 90 days before Licensee, or Sublicensee initiates or participates directly or indirectly in a Patent Challenge.  Licensee or such Sublicensee will identify all prior art and other evidence material to the Patent Challenge in such written notice.  If Licensee or a Sublicensee participates directly or indirectly in a Patent Challenge, the following applies:</w:t>
            </w:r>
          </w:p>
          <w:p w14:paraId="13C223FB" w14:textId="50AA80B1" w:rsidR="0024016A" w:rsidRPr="00DB7230" w:rsidRDefault="00D21497" w:rsidP="00D21497">
            <w:pPr>
              <w:numPr>
                <w:ilvl w:val="0"/>
                <w:numId w:val="4"/>
              </w:numPr>
              <w:pBdr>
                <w:top w:val="nil"/>
                <w:left w:val="nil"/>
                <w:bottom w:val="nil"/>
                <w:right w:val="nil"/>
                <w:between w:val="nil"/>
              </w:pBdr>
              <w:rPr>
                <w:rFonts w:ascii="Arial" w:hAnsi="Arial" w:cs="Arial"/>
                <w:sz w:val="22"/>
                <w:szCs w:val="22"/>
              </w:rPr>
            </w:pPr>
            <w:r w:rsidRPr="00DB7230">
              <w:rPr>
                <w:rFonts w:ascii="Arial" w:hAnsi="Arial" w:cs="Arial"/>
                <w:color w:val="000000"/>
                <w:sz w:val="22"/>
                <w:szCs w:val="22"/>
              </w:rPr>
              <w:t xml:space="preserve">[Licensor has the right to terminate the License Agreement at any time (including after the termination of such Patent Challenge) upon written notice delivered to Licensee, and the License Agreement cure provisions for non-monetary breach </w:t>
            </w:r>
            <w:r w:rsidR="00AE7FD5" w:rsidRPr="00DB7230">
              <w:rPr>
                <w:rFonts w:ascii="Arial" w:hAnsi="Arial" w:cs="Arial"/>
                <w:color w:val="000000"/>
                <w:sz w:val="22"/>
                <w:szCs w:val="22"/>
              </w:rPr>
              <w:t>will</w:t>
            </w:r>
            <w:r w:rsidRPr="00DB7230">
              <w:rPr>
                <w:rFonts w:ascii="Arial" w:hAnsi="Arial" w:cs="Arial"/>
                <w:color w:val="000000"/>
                <w:sz w:val="22"/>
                <w:szCs w:val="22"/>
              </w:rPr>
              <w:t xml:space="preserve"> not apply</w:t>
            </w:r>
            <w:r w:rsidR="000D6006" w:rsidRPr="00DB7230">
              <w:rPr>
                <w:rFonts w:ascii="Arial" w:hAnsi="Arial" w:cs="Arial"/>
                <w:color w:val="000000"/>
                <w:sz w:val="22"/>
                <w:szCs w:val="22"/>
              </w:rPr>
              <w:t xml:space="preserve">; provided that if a Patent Challenge is </w:t>
            </w:r>
            <w:r w:rsidR="000D6006" w:rsidRPr="00DB7230">
              <w:rPr>
                <w:rFonts w:ascii="Arial" w:hAnsi="Arial" w:cs="Arial"/>
                <w:sz w:val="22"/>
                <w:szCs w:val="22"/>
              </w:rPr>
              <w:t xml:space="preserve">initiated by a Sublicensee, Licensor </w:t>
            </w:r>
            <w:r w:rsidR="00AE7FD5" w:rsidRPr="00DB7230">
              <w:rPr>
                <w:rFonts w:ascii="Arial" w:hAnsi="Arial" w:cs="Arial"/>
                <w:sz w:val="22"/>
                <w:szCs w:val="22"/>
              </w:rPr>
              <w:t>will</w:t>
            </w:r>
            <w:r w:rsidR="000D6006" w:rsidRPr="00DB7230">
              <w:rPr>
                <w:rFonts w:ascii="Arial" w:hAnsi="Arial" w:cs="Arial"/>
                <w:sz w:val="22"/>
                <w:szCs w:val="22"/>
              </w:rPr>
              <w:t xml:space="preserve"> only be permitted to </w:t>
            </w:r>
            <w:r w:rsidR="000D6006" w:rsidRPr="00DB7230">
              <w:rPr>
                <w:rFonts w:ascii="Arial" w:hAnsi="Arial" w:cs="Arial"/>
                <w:sz w:val="22"/>
                <w:szCs w:val="22"/>
              </w:rPr>
              <w:lastRenderedPageBreak/>
              <w:t xml:space="preserve">terminate the </w:t>
            </w:r>
            <w:r w:rsidR="00794678" w:rsidRPr="00DB7230">
              <w:rPr>
                <w:rFonts w:ascii="Arial" w:hAnsi="Arial" w:cs="Arial"/>
                <w:sz w:val="22"/>
                <w:szCs w:val="22"/>
              </w:rPr>
              <w:t>L</w:t>
            </w:r>
            <w:r w:rsidR="000D6006" w:rsidRPr="00DB7230">
              <w:rPr>
                <w:rFonts w:ascii="Arial" w:hAnsi="Arial" w:cs="Arial"/>
                <w:sz w:val="22"/>
                <w:szCs w:val="22"/>
              </w:rPr>
              <w:t>icense</w:t>
            </w:r>
            <w:r w:rsidR="00794678" w:rsidRPr="00DB7230">
              <w:rPr>
                <w:rFonts w:ascii="Arial" w:hAnsi="Arial" w:cs="Arial"/>
                <w:sz w:val="22"/>
                <w:szCs w:val="22"/>
              </w:rPr>
              <w:t xml:space="preserve"> Agreement</w:t>
            </w:r>
            <w:r w:rsidR="000D6006" w:rsidRPr="00DB7230">
              <w:rPr>
                <w:rFonts w:ascii="Arial" w:hAnsi="Arial" w:cs="Arial"/>
                <w:sz w:val="22"/>
                <w:szCs w:val="22"/>
              </w:rPr>
              <w:t xml:space="preserve"> if, </w:t>
            </w:r>
            <w:r w:rsidR="00794678" w:rsidRPr="00DB7230">
              <w:rPr>
                <w:rFonts w:ascii="Arial" w:hAnsi="Arial" w:cs="Arial"/>
                <w:sz w:val="22"/>
                <w:szCs w:val="22"/>
              </w:rPr>
              <w:t>within 30 days</w:t>
            </w:r>
            <w:r w:rsidR="000D6006" w:rsidRPr="00DB7230">
              <w:rPr>
                <w:rFonts w:ascii="Arial" w:hAnsi="Arial" w:cs="Arial"/>
                <w:sz w:val="22"/>
                <w:szCs w:val="22"/>
              </w:rPr>
              <w:t xml:space="preserve"> following </w:t>
            </w:r>
            <w:r w:rsidR="00794678" w:rsidRPr="00DB7230">
              <w:rPr>
                <w:rFonts w:ascii="Arial" w:hAnsi="Arial" w:cs="Arial"/>
                <w:sz w:val="22"/>
                <w:szCs w:val="22"/>
              </w:rPr>
              <w:t xml:space="preserve">receipt of </w:t>
            </w:r>
            <w:r w:rsidR="000D6006" w:rsidRPr="00DB7230">
              <w:rPr>
                <w:rFonts w:ascii="Arial" w:hAnsi="Arial" w:cs="Arial"/>
                <w:sz w:val="22"/>
                <w:szCs w:val="22"/>
              </w:rPr>
              <w:t xml:space="preserve">notice that </w:t>
            </w:r>
            <w:r w:rsidR="00794678" w:rsidRPr="00DB7230">
              <w:rPr>
                <w:rFonts w:ascii="Arial" w:hAnsi="Arial" w:cs="Arial"/>
                <w:sz w:val="22"/>
                <w:szCs w:val="22"/>
              </w:rPr>
              <w:t>S</w:t>
            </w:r>
            <w:r w:rsidR="000D6006" w:rsidRPr="00DB7230">
              <w:rPr>
                <w:rFonts w:ascii="Arial" w:hAnsi="Arial" w:cs="Arial"/>
                <w:sz w:val="22"/>
                <w:szCs w:val="22"/>
              </w:rPr>
              <w:t xml:space="preserve">ublicensee has </w:t>
            </w:r>
            <w:r w:rsidR="00794678" w:rsidRPr="00DB7230">
              <w:rPr>
                <w:rFonts w:ascii="Arial" w:hAnsi="Arial" w:cs="Arial"/>
                <w:sz w:val="22"/>
                <w:szCs w:val="22"/>
              </w:rPr>
              <w:t>initiated a Patent C</w:t>
            </w:r>
            <w:r w:rsidR="000D6006" w:rsidRPr="00DB7230">
              <w:rPr>
                <w:rFonts w:ascii="Arial" w:hAnsi="Arial" w:cs="Arial"/>
                <w:sz w:val="22"/>
                <w:szCs w:val="22"/>
              </w:rPr>
              <w:t xml:space="preserve">hallenge, </w:t>
            </w:r>
            <w:r w:rsidR="00794678" w:rsidRPr="00DB7230">
              <w:rPr>
                <w:rFonts w:ascii="Arial" w:hAnsi="Arial" w:cs="Arial"/>
                <w:sz w:val="22"/>
                <w:szCs w:val="22"/>
              </w:rPr>
              <w:t>Licensee has failed to terminate the Sublicense or</w:t>
            </w:r>
            <w:r w:rsidR="000D6006" w:rsidRPr="00DB7230">
              <w:rPr>
                <w:rFonts w:ascii="Arial" w:hAnsi="Arial" w:cs="Arial"/>
                <w:sz w:val="22"/>
                <w:szCs w:val="22"/>
              </w:rPr>
              <w:t xml:space="preserve"> Sublicensee has not vacated the </w:t>
            </w:r>
            <w:r w:rsidR="00794678" w:rsidRPr="00DB7230">
              <w:rPr>
                <w:rFonts w:ascii="Arial" w:hAnsi="Arial" w:cs="Arial"/>
                <w:sz w:val="22"/>
                <w:szCs w:val="22"/>
              </w:rPr>
              <w:t>Patent C</w:t>
            </w:r>
            <w:r w:rsidR="000D6006" w:rsidRPr="00DB7230">
              <w:rPr>
                <w:rFonts w:ascii="Arial" w:hAnsi="Arial" w:cs="Arial"/>
                <w:sz w:val="22"/>
                <w:szCs w:val="22"/>
              </w:rPr>
              <w:t>hallenge.</w:t>
            </w:r>
            <w:r w:rsidRPr="00DB7230">
              <w:rPr>
                <w:rFonts w:ascii="Arial" w:hAnsi="Arial" w:cs="Arial"/>
                <w:color w:val="000000"/>
                <w:sz w:val="22"/>
                <w:szCs w:val="22"/>
              </w:rPr>
              <w:t>]</w:t>
            </w:r>
            <w:r w:rsidRPr="00DB7230">
              <w:rPr>
                <w:rStyle w:val="FootnoteReference"/>
                <w:rFonts w:ascii="Arial" w:hAnsi="Arial" w:cs="Arial"/>
                <w:color w:val="000000"/>
                <w:sz w:val="22"/>
                <w:szCs w:val="22"/>
              </w:rPr>
              <w:footnoteReference w:id="34"/>
            </w:r>
          </w:p>
          <w:p w14:paraId="00000084" w14:textId="17ED80D8" w:rsidR="00D21497" w:rsidRPr="00DB7230" w:rsidRDefault="0024016A" w:rsidP="0062071D">
            <w:pPr>
              <w:pBdr>
                <w:top w:val="nil"/>
                <w:left w:val="nil"/>
                <w:bottom w:val="nil"/>
                <w:right w:val="nil"/>
                <w:between w:val="nil"/>
              </w:pBdr>
              <w:ind w:left="792"/>
              <w:rPr>
                <w:rFonts w:ascii="Arial" w:hAnsi="Arial" w:cs="Arial"/>
                <w:sz w:val="22"/>
                <w:szCs w:val="22"/>
              </w:rPr>
            </w:pPr>
            <w:r w:rsidRPr="00DB7230">
              <w:rPr>
                <w:rFonts w:ascii="Arial" w:hAnsi="Arial" w:cs="Arial"/>
                <w:color w:val="000000"/>
                <w:sz w:val="22"/>
                <w:szCs w:val="22"/>
              </w:rPr>
              <w:t>OR</w:t>
            </w:r>
          </w:p>
          <w:p w14:paraId="00000085" w14:textId="3817E4F0" w:rsidR="00D21497" w:rsidRPr="00DB7230" w:rsidRDefault="00D21497" w:rsidP="00F04CF4">
            <w:pPr>
              <w:numPr>
                <w:ilvl w:val="0"/>
                <w:numId w:val="11"/>
              </w:numPr>
              <w:pBdr>
                <w:top w:val="nil"/>
                <w:left w:val="nil"/>
                <w:bottom w:val="nil"/>
                <w:right w:val="nil"/>
                <w:between w:val="nil"/>
              </w:pBdr>
              <w:rPr>
                <w:rFonts w:ascii="Arial" w:hAnsi="Arial" w:cs="Arial"/>
                <w:sz w:val="22"/>
                <w:szCs w:val="22"/>
              </w:rPr>
            </w:pPr>
            <w:r w:rsidRPr="00DB7230">
              <w:rPr>
                <w:rFonts w:ascii="Arial" w:hAnsi="Arial" w:cs="Arial"/>
                <w:color w:val="000000"/>
                <w:sz w:val="22"/>
                <w:szCs w:val="22"/>
              </w:rPr>
              <w:t xml:space="preserve">Licensor will meet with Licensee and any designee of Licensee within three months after such notice from Licensee and at least semi-annually at the request of Licensee, in a good faith effort to resolve any Patent </w:t>
            </w:r>
            <w:proofErr w:type="gramStart"/>
            <w:r w:rsidRPr="00DB7230">
              <w:rPr>
                <w:rFonts w:ascii="Arial" w:hAnsi="Arial" w:cs="Arial"/>
                <w:color w:val="000000"/>
                <w:sz w:val="22"/>
                <w:szCs w:val="22"/>
              </w:rPr>
              <w:t>Challenge;</w:t>
            </w:r>
            <w:proofErr w:type="gramEnd"/>
            <w:r w:rsidRPr="00DB7230">
              <w:rPr>
                <w:rFonts w:ascii="Arial" w:hAnsi="Arial" w:cs="Arial"/>
                <w:color w:val="000000"/>
                <w:sz w:val="22"/>
                <w:szCs w:val="22"/>
              </w:rPr>
              <w:t xml:space="preserve"> </w:t>
            </w:r>
          </w:p>
          <w:p w14:paraId="00000086" w14:textId="0C2AC6FF" w:rsidR="00D21497" w:rsidRPr="00DB7230" w:rsidRDefault="00D21497" w:rsidP="00F04CF4">
            <w:pPr>
              <w:numPr>
                <w:ilvl w:val="0"/>
                <w:numId w:val="11"/>
              </w:numPr>
              <w:pBdr>
                <w:top w:val="nil"/>
                <w:left w:val="nil"/>
                <w:bottom w:val="nil"/>
                <w:right w:val="nil"/>
                <w:between w:val="nil"/>
              </w:pBdr>
              <w:rPr>
                <w:rFonts w:ascii="Arial" w:hAnsi="Arial" w:cs="Arial"/>
                <w:sz w:val="22"/>
                <w:szCs w:val="22"/>
              </w:rPr>
            </w:pPr>
            <w:r w:rsidRPr="00DB7230">
              <w:rPr>
                <w:rFonts w:ascii="Arial" w:hAnsi="Arial" w:cs="Arial"/>
                <w:color w:val="000000"/>
                <w:sz w:val="22"/>
                <w:szCs w:val="22"/>
              </w:rPr>
              <w:t>during the pendency of such action or proceeding (including any appeals), the applicable royalty rate(s) will increase to double the applicable royalty rate(s</w:t>
            </w:r>
            <w:proofErr w:type="gramStart"/>
            <w:r w:rsidRPr="00DB7230">
              <w:rPr>
                <w:rFonts w:ascii="Arial" w:hAnsi="Arial" w:cs="Arial"/>
                <w:color w:val="000000"/>
                <w:sz w:val="22"/>
                <w:szCs w:val="22"/>
              </w:rPr>
              <w:t>);</w:t>
            </w:r>
            <w:proofErr w:type="gramEnd"/>
          </w:p>
          <w:p w14:paraId="00000087" w14:textId="4113719D" w:rsidR="00D21497" w:rsidRPr="00DB7230" w:rsidRDefault="00D21497" w:rsidP="00F04CF4">
            <w:pPr>
              <w:numPr>
                <w:ilvl w:val="0"/>
                <w:numId w:val="11"/>
              </w:numPr>
              <w:pBdr>
                <w:top w:val="nil"/>
                <w:left w:val="nil"/>
                <w:bottom w:val="nil"/>
                <w:right w:val="nil"/>
                <w:between w:val="nil"/>
              </w:pBdr>
              <w:rPr>
                <w:rFonts w:ascii="Arial" w:hAnsi="Arial" w:cs="Arial"/>
                <w:sz w:val="22"/>
                <w:szCs w:val="22"/>
              </w:rPr>
            </w:pPr>
            <w:r w:rsidRPr="00DB7230">
              <w:rPr>
                <w:rFonts w:ascii="Arial" w:hAnsi="Arial" w:cs="Arial"/>
                <w:color w:val="000000"/>
                <w:sz w:val="22"/>
                <w:szCs w:val="22"/>
              </w:rPr>
              <w:t>should the outcome of such action or proceeding determine that any such claim challenged by Licensee or a Sublicensee is valid, enforceable, and/or infringed by a Licensed Product, the royalty rate(s) will increase to triple the applicable royalty rate(s</w:t>
            </w:r>
            <w:proofErr w:type="gramStart"/>
            <w:r w:rsidRPr="00DB7230">
              <w:rPr>
                <w:rFonts w:ascii="Arial" w:hAnsi="Arial" w:cs="Arial"/>
                <w:color w:val="000000"/>
                <w:sz w:val="22"/>
                <w:szCs w:val="22"/>
              </w:rPr>
              <w:t>);</w:t>
            </w:r>
            <w:proofErr w:type="gramEnd"/>
          </w:p>
          <w:p w14:paraId="00000088" w14:textId="07B68E7A" w:rsidR="00D21497" w:rsidRPr="00DB7230" w:rsidRDefault="00D21497" w:rsidP="00F04CF4">
            <w:pPr>
              <w:numPr>
                <w:ilvl w:val="0"/>
                <w:numId w:val="11"/>
              </w:numPr>
              <w:pBdr>
                <w:top w:val="nil"/>
                <w:left w:val="nil"/>
                <w:bottom w:val="nil"/>
                <w:right w:val="nil"/>
                <w:between w:val="nil"/>
              </w:pBdr>
              <w:rPr>
                <w:rFonts w:ascii="Arial" w:hAnsi="Arial" w:cs="Arial"/>
                <w:sz w:val="22"/>
                <w:szCs w:val="22"/>
              </w:rPr>
            </w:pPr>
            <w:r w:rsidRPr="00DB7230">
              <w:rPr>
                <w:rFonts w:ascii="Arial" w:hAnsi="Arial" w:cs="Arial"/>
                <w:color w:val="000000"/>
                <w:sz w:val="22"/>
                <w:szCs w:val="22"/>
              </w:rPr>
              <w:t xml:space="preserve">Licensee and any Sublicensee(s) </w:t>
            </w:r>
            <w:r w:rsidR="00AE7FD5" w:rsidRPr="00DB7230">
              <w:rPr>
                <w:rFonts w:ascii="Arial" w:hAnsi="Arial" w:cs="Arial"/>
                <w:color w:val="000000"/>
                <w:sz w:val="22"/>
                <w:szCs w:val="22"/>
              </w:rPr>
              <w:t>will</w:t>
            </w:r>
            <w:r w:rsidRPr="00DB7230">
              <w:rPr>
                <w:rFonts w:ascii="Arial" w:hAnsi="Arial" w:cs="Arial"/>
                <w:color w:val="000000"/>
                <w:sz w:val="22"/>
                <w:szCs w:val="22"/>
              </w:rPr>
              <w:t xml:space="preserve"> have no right to recoup any royalties paid before such action or proceeding or during the period in which such action or proceeding is pending (including on appeal), no matter the outcome of such action or proceeding; and </w:t>
            </w:r>
          </w:p>
          <w:p w14:paraId="00000089" w14:textId="25B69FB5" w:rsidR="00D21497" w:rsidRPr="00DB7230" w:rsidRDefault="00D21497" w:rsidP="00F04CF4">
            <w:pPr>
              <w:numPr>
                <w:ilvl w:val="0"/>
                <w:numId w:val="11"/>
              </w:numPr>
              <w:pBdr>
                <w:top w:val="nil"/>
                <w:left w:val="nil"/>
                <w:bottom w:val="nil"/>
                <w:right w:val="nil"/>
                <w:between w:val="nil"/>
              </w:pBdr>
              <w:rPr>
                <w:rFonts w:ascii="Arial" w:hAnsi="Arial" w:cs="Arial"/>
                <w:sz w:val="22"/>
                <w:szCs w:val="22"/>
              </w:rPr>
            </w:pPr>
            <w:r w:rsidRPr="00DB7230">
              <w:rPr>
                <w:rFonts w:ascii="Arial" w:hAnsi="Arial" w:cs="Arial"/>
                <w:color w:val="000000"/>
                <w:sz w:val="22"/>
                <w:szCs w:val="22"/>
              </w:rPr>
              <w:t xml:space="preserve">Licensee shall pay all </w:t>
            </w:r>
            <w:r w:rsidR="00C84AFD" w:rsidRPr="00DB7230">
              <w:rPr>
                <w:rFonts w:ascii="Arial" w:hAnsi="Arial" w:cs="Arial"/>
                <w:color w:val="000000"/>
                <w:sz w:val="22"/>
                <w:szCs w:val="22"/>
              </w:rPr>
              <w:t xml:space="preserve">reasonable </w:t>
            </w:r>
            <w:r w:rsidRPr="00DB7230">
              <w:rPr>
                <w:rFonts w:ascii="Arial" w:hAnsi="Arial" w:cs="Arial"/>
                <w:color w:val="000000"/>
                <w:sz w:val="22"/>
                <w:szCs w:val="22"/>
              </w:rPr>
              <w:t xml:space="preserve">costs and expenses incurred by Licensor (including, but not limited to, Licensor’s actual attorneys’ fees) in connection with such action or proceeding. Licensor may bill Licensee as frequently as monthly concerning such costs and expenses, and Licensee shall make payment no later than 30 days after receiving an invoice from Licensor. Notwithstanding any other provision of the Agreement, with respect to any such Patent Challenge, Licensor </w:t>
            </w:r>
            <w:r w:rsidR="00AE7FD5" w:rsidRPr="00DB7230">
              <w:rPr>
                <w:rFonts w:ascii="Arial" w:hAnsi="Arial" w:cs="Arial"/>
                <w:color w:val="000000"/>
                <w:sz w:val="22"/>
                <w:szCs w:val="22"/>
              </w:rPr>
              <w:t>will</w:t>
            </w:r>
            <w:r w:rsidRPr="00DB7230">
              <w:rPr>
                <w:rFonts w:ascii="Arial" w:hAnsi="Arial" w:cs="Arial"/>
                <w:color w:val="000000"/>
                <w:sz w:val="22"/>
                <w:szCs w:val="22"/>
              </w:rPr>
              <w:t xml:space="preserve"> have full control and authority to defend the Patent Rights in the action or proceeding and will not be required to share any work product concerning such action or proceeding with Licensee or the Sublicensee(s).</w:t>
            </w:r>
          </w:p>
        </w:tc>
      </w:tr>
      <w:tr w:rsidR="00D21497" w:rsidRPr="00DB7230" w14:paraId="3D42C096" w14:textId="77777777" w:rsidTr="6C4217BD">
        <w:trPr>
          <w:trHeight w:val="249"/>
        </w:trPr>
        <w:tc>
          <w:tcPr>
            <w:tcW w:w="2047" w:type="dxa"/>
          </w:tcPr>
          <w:p w14:paraId="2880C35E" w14:textId="7A786CD3" w:rsidR="00D21497" w:rsidRPr="00DB7230" w:rsidRDefault="00D21497" w:rsidP="00D21497">
            <w:pPr>
              <w:rPr>
                <w:rFonts w:ascii="Arial" w:hAnsi="Arial" w:cs="Arial"/>
                <w:b/>
                <w:bCs/>
                <w:sz w:val="22"/>
                <w:szCs w:val="22"/>
              </w:rPr>
            </w:pPr>
            <w:r w:rsidRPr="00DB7230">
              <w:rPr>
                <w:rFonts w:ascii="Arial" w:hAnsi="Arial" w:cs="Arial"/>
                <w:b/>
                <w:bCs/>
                <w:sz w:val="22"/>
                <w:szCs w:val="22"/>
              </w:rPr>
              <w:lastRenderedPageBreak/>
              <w:t>Third Party Claim</w:t>
            </w:r>
          </w:p>
        </w:tc>
        <w:tc>
          <w:tcPr>
            <w:tcW w:w="12600" w:type="dxa"/>
          </w:tcPr>
          <w:p w14:paraId="04AAE6E3" w14:textId="5DAE20C4" w:rsidR="00D21497" w:rsidRPr="00DB7230" w:rsidRDefault="00D21497" w:rsidP="00D21497">
            <w:pPr>
              <w:rPr>
                <w:rFonts w:ascii="Arial" w:hAnsi="Arial" w:cs="Arial"/>
                <w:sz w:val="22"/>
                <w:szCs w:val="22"/>
              </w:rPr>
            </w:pPr>
            <w:r w:rsidRPr="00DB7230">
              <w:rPr>
                <w:rFonts w:ascii="Arial" w:hAnsi="Arial" w:cs="Arial"/>
                <w:sz w:val="22"/>
                <w:szCs w:val="22"/>
              </w:rPr>
              <w:t xml:space="preserve">In the event of a third-party challenge (including </w:t>
            </w:r>
            <w:r w:rsidRPr="00DB7230">
              <w:rPr>
                <w:rFonts w:ascii="Arial" w:hAnsi="Arial" w:cs="Arial"/>
                <w:i/>
                <w:sz w:val="22"/>
                <w:szCs w:val="22"/>
              </w:rPr>
              <w:t xml:space="preserve">inter </w:t>
            </w:r>
            <w:r w:rsidRPr="00DB7230">
              <w:rPr>
                <w:rFonts w:ascii="Arial" w:hAnsi="Arial" w:cs="Arial"/>
                <w:i/>
                <w:iCs/>
                <w:sz w:val="22"/>
                <w:szCs w:val="22"/>
              </w:rPr>
              <w:t>parte</w:t>
            </w:r>
            <w:r w:rsidR="00A3038B" w:rsidRPr="00DB7230">
              <w:rPr>
                <w:rFonts w:ascii="Arial" w:hAnsi="Arial" w:cs="Arial"/>
                <w:i/>
                <w:iCs/>
                <w:sz w:val="22"/>
                <w:szCs w:val="22"/>
              </w:rPr>
              <w:t>s</w:t>
            </w:r>
            <w:r w:rsidRPr="00DB7230">
              <w:rPr>
                <w:rFonts w:ascii="Arial" w:hAnsi="Arial" w:cs="Arial"/>
                <w:sz w:val="22"/>
                <w:szCs w:val="22"/>
              </w:rPr>
              <w:t xml:space="preserve"> reviews and declaratory judgements) to any of the Licensed Technology, Licensor will have the first right to assume and control the defense of the claim at Licensor’s expense. If Licensor fails to assume such defense within 60 days of becoming aware of such challenge, Licensee may assume and control such defense at Licensee’s expense. The party controlling the defense may join the other party in any such action if a court of competent jurisdiction determines the other party is an indispensable party to such proceeding and the controlling party shall pay the expenses of the joined party.  The party controlling the defense of such legal action </w:t>
            </w:r>
            <w:r w:rsidR="00AE7FD5" w:rsidRPr="00DB7230">
              <w:rPr>
                <w:rFonts w:ascii="Arial" w:hAnsi="Arial" w:cs="Arial"/>
                <w:sz w:val="22"/>
                <w:szCs w:val="22"/>
              </w:rPr>
              <w:t>will</w:t>
            </w:r>
            <w:r w:rsidRPr="00DB7230">
              <w:rPr>
                <w:rFonts w:ascii="Arial" w:hAnsi="Arial" w:cs="Arial"/>
                <w:sz w:val="22"/>
                <w:szCs w:val="22"/>
              </w:rPr>
              <w:t xml:space="preserve"> keep the other party reasonably informed of the proceedings and </w:t>
            </w:r>
            <w:r w:rsidR="00AE7FD5" w:rsidRPr="00DB7230">
              <w:rPr>
                <w:rFonts w:ascii="Arial" w:hAnsi="Arial" w:cs="Arial"/>
                <w:sz w:val="22"/>
                <w:szCs w:val="22"/>
              </w:rPr>
              <w:t>will</w:t>
            </w:r>
            <w:r w:rsidRPr="00DB7230">
              <w:rPr>
                <w:rFonts w:ascii="Arial" w:hAnsi="Arial" w:cs="Arial"/>
                <w:sz w:val="22"/>
                <w:szCs w:val="22"/>
              </w:rPr>
              <w:t xml:space="preserve"> not settle such action without the prior written consent of the other party, such consent not to be unreasonably withheld.  </w:t>
            </w:r>
          </w:p>
        </w:tc>
      </w:tr>
      <w:tr w:rsidR="00D21497" w:rsidRPr="00DB7230" w14:paraId="67746B12" w14:textId="77777777" w:rsidTr="6C4217BD">
        <w:trPr>
          <w:trHeight w:val="249"/>
        </w:trPr>
        <w:tc>
          <w:tcPr>
            <w:tcW w:w="2047" w:type="dxa"/>
          </w:tcPr>
          <w:p w14:paraId="2F3145E6" w14:textId="3CE8E381" w:rsidR="00D21497" w:rsidRPr="00DB7230" w:rsidRDefault="00D21497" w:rsidP="00D21497">
            <w:pPr>
              <w:tabs>
                <w:tab w:val="left" w:pos="-720"/>
              </w:tabs>
              <w:spacing w:before="96" w:after="96"/>
              <w:rPr>
                <w:rFonts w:ascii="Arial" w:hAnsi="Arial" w:cs="Arial"/>
                <w:b/>
                <w:sz w:val="22"/>
                <w:szCs w:val="22"/>
              </w:rPr>
            </w:pPr>
            <w:r w:rsidRPr="00DB7230">
              <w:rPr>
                <w:rFonts w:ascii="Arial" w:hAnsi="Arial" w:cs="Arial"/>
                <w:b/>
                <w:sz w:val="22"/>
                <w:szCs w:val="22"/>
              </w:rPr>
              <w:t>Patent Enforcement</w:t>
            </w:r>
          </w:p>
        </w:tc>
        <w:tc>
          <w:tcPr>
            <w:tcW w:w="12600" w:type="dxa"/>
          </w:tcPr>
          <w:p w14:paraId="105351C3" w14:textId="614348D8" w:rsidR="00D21497" w:rsidRPr="00DB7230" w:rsidRDefault="00D21497" w:rsidP="00D21497">
            <w:pPr>
              <w:rPr>
                <w:rFonts w:ascii="Arial" w:hAnsi="Arial" w:cs="Arial"/>
                <w:sz w:val="22"/>
                <w:szCs w:val="22"/>
              </w:rPr>
            </w:pPr>
            <w:proofErr w:type="gramStart"/>
            <w:r w:rsidRPr="00DB7230">
              <w:rPr>
                <w:rFonts w:ascii="Arial" w:hAnsi="Arial" w:cs="Arial"/>
                <w:sz w:val="22"/>
                <w:szCs w:val="22"/>
              </w:rPr>
              <w:t>In the event that</w:t>
            </w:r>
            <w:proofErr w:type="gramEnd"/>
            <w:r w:rsidRPr="00DB7230">
              <w:rPr>
                <w:rFonts w:ascii="Arial" w:hAnsi="Arial" w:cs="Arial"/>
                <w:sz w:val="22"/>
                <w:szCs w:val="22"/>
              </w:rPr>
              <w:t xml:space="preserve"> either party believes that a third party is infringing or misappropriating any of the Licensed Technology, [Licensee/Licensor] will have the first right to enforce the claim at [Licensee’s/Licensor’s] expense. If [Licensee/Licensor] fails to initiate such action within 90 days of becoming aware of such infringement or misappropriation, the other party may assume and control such action at the other party’s expense. </w:t>
            </w:r>
            <w:r w:rsidRPr="00DB7230">
              <w:rPr>
                <w:rStyle w:val="FootnoteReference"/>
                <w:rFonts w:ascii="Arial" w:hAnsi="Arial" w:cs="Arial"/>
                <w:sz w:val="22"/>
                <w:szCs w:val="22"/>
              </w:rPr>
              <w:footnoteReference w:id="35"/>
            </w:r>
            <w:r w:rsidR="00A3038B" w:rsidRPr="00DB7230">
              <w:rPr>
                <w:rFonts w:ascii="Arial" w:hAnsi="Arial" w:cs="Arial"/>
                <w:sz w:val="22"/>
                <w:szCs w:val="22"/>
              </w:rPr>
              <w:t xml:space="preserve">  </w:t>
            </w:r>
            <w:r w:rsidRPr="00DB7230">
              <w:rPr>
                <w:rFonts w:ascii="Arial" w:hAnsi="Arial" w:cs="Arial"/>
                <w:sz w:val="22"/>
                <w:szCs w:val="22"/>
              </w:rPr>
              <w:t xml:space="preserve">The party controlling the action may </w:t>
            </w:r>
            <w:r w:rsidR="008814C2" w:rsidRPr="00DB7230">
              <w:rPr>
                <w:rFonts w:ascii="Arial" w:hAnsi="Arial" w:cs="Arial"/>
                <w:sz w:val="22"/>
                <w:szCs w:val="22"/>
              </w:rPr>
              <w:t xml:space="preserve">require </w:t>
            </w:r>
            <w:r w:rsidRPr="00DB7230">
              <w:rPr>
                <w:rFonts w:ascii="Arial" w:hAnsi="Arial" w:cs="Arial"/>
                <w:sz w:val="22"/>
                <w:szCs w:val="22"/>
              </w:rPr>
              <w:t xml:space="preserve">the other party </w:t>
            </w:r>
            <w:r w:rsidR="008814C2" w:rsidRPr="00DB7230">
              <w:rPr>
                <w:rFonts w:ascii="Arial" w:hAnsi="Arial" w:cs="Arial"/>
                <w:sz w:val="22"/>
                <w:szCs w:val="22"/>
              </w:rPr>
              <w:t xml:space="preserve">to join </w:t>
            </w:r>
            <w:r w:rsidRPr="00DB7230">
              <w:rPr>
                <w:rFonts w:ascii="Arial" w:hAnsi="Arial" w:cs="Arial"/>
                <w:sz w:val="22"/>
                <w:szCs w:val="22"/>
              </w:rPr>
              <w:t xml:space="preserve">in any such action if a court of competent jurisdiction determines the other party is an indispensable party to such proceeding and </w:t>
            </w:r>
            <w:r w:rsidRPr="00DB7230">
              <w:rPr>
                <w:rFonts w:ascii="Arial" w:hAnsi="Arial" w:cs="Arial"/>
                <w:sz w:val="22"/>
                <w:szCs w:val="22"/>
              </w:rPr>
              <w:lastRenderedPageBreak/>
              <w:t xml:space="preserve">the controlling party </w:t>
            </w:r>
            <w:r w:rsidR="00AE7FD5" w:rsidRPr="00DB7230">
              <w:rPr>
                <w:rFonts w:ascii="Arial" w:hAnsi="Arial" w:cs="Arial"/>
                <w:sz w:val="22"/>
                <w:szCs w:val="22"/>
              </w:rPr>
              <w:t>will</w:t>
            </w:r>
            <w:r w:rsidRPr="00DB7230">
              <w:rPr>
                <w:rFonts w:ascii="Arial" w:hAnsi="Arial" w:cs="Arial"/>
                <w:sz w:val="22"/>
                <w:szCs w:val="22"/>
              </w:rPr>
              <w:t xml:space="preserve"> pay the expenses of the joined party.</w:t>
            </w:r>
            <w:r w:rsidR="004F39B3" w:rsidRPr="00DB7230">
              <w:rPr>
                <w:rStyle w:val="FootnoteReference"/>
                <w:rFonts w:ascii="Arial" w:hAnsi="Arial" w:cs="Arial"/>
                <w:sz w:val="22"/>
                <w:szCs w:val="22"/>
              </w:rPr>
              <w:footnoteReference w:id="36"/>
            </w:r>
            <w:r w:rsidRPr="00DB7230">
              <w:rPr>
                <w:rFonts w:ascii="Arial" w:hAnsi="Arial" w:cs="Arial"/>
                <w:sz w:val="22"/>
                <w:szCs w:val="22"/>
              </w:rPr>
              <w:t xml:space="preserve">  The party controlling such legal action </w:t>
            </w:r>
            <w:r w:rsidR="00AE7FD5" w:rsidRPr="00DB7230">
              <w:rPr>
                <w:rFonts w:ascii="Arial" w:hAnsi="Arial" w:cs="Arial"/>
                <w:sz w:val="22"/>
                <w:szCs w:val="22"/>
              </w:rPr>
              <w:t>will</w:t>
            </w:r>
            <w:r w:rsidRPr="00DB7230">
              <w:rPr>
                <w:rFonts w:ascii="Arial" w:hAnsi="Arial" w:cs="Arial"/>
                <w:sz w:val="22"/>
                <w:szCs w:val="22"/>
              </w:rPr>
              <w:t xml:space="preserve"> keep the other party reasonably informed of the proceedings and </w:t>
            </w:r>
            <w:r w:rsidR="00AE7FD5" w:rsidRPr="00DB7230">
              <w:rPr>
                <w:rFonts w:ascii="Arial" w:hAnsi="Arial" w:cs="Arial"/>
                <w:sz w:val="22"/>
                <w:szCs w:val="22"/>
              </w:rPr>
              <w:t>will</w:t>
            </w:r>
            <w:r w:rsidRPr="00DB7230">
              <w:rPr>
                <w:rFonts w:ascii="Arial" w:hAnsi="Arial" w:cs="Arial"/>
                <w:sz w:val="22"/>
                <w:szCs w:val="22"/>
              </w:rPr>
              <w:t xml:space="preserve"> not settle such action without the prior written consent of the other party, such consent not to be unreasonably withheld.</w:t>
            </w:r>
          </w:p>
        </w:tc>
      </w:tr>
      <w:tr w:rsidR="00244610" w:rsidRPr="00DB7230" w14:paraId="48B63881" w14:textId="77777777" w:rsidTr="6C4217BD">
        <w:trPr>
          <w:trHeight w:val="249"/>
        </w:trPr>
        <w:tc>
          <w:tcPr>
            <w:tcW w:w="2047" w:type="dxa"/>
          </w:tcPr>
          <w:p w14:paraId="05F4EE28" w14:textId="455BAE29" w:rsidR="00244610" w:rsidRPr="00DB7230" w:rsidRDefault="00244610" w:rsidP="00D21497">
            <w:pPr>
              <w:tabs>
                <w:tab w:val="left" w:pos="-720"/>
              </w:tabs>
              <w:spacing w:before="96" w:after="96"/>
              <w:rPr>
                <w:rFonts w:ascii="Arial" w:hAnsi="Arial" w:cs="Arial"/>
                <w:b/>
                <w:sz w:val="22"/>
                <w:szCs w:val="22"/>
              </w:rPr>
            </w:pPr>
            <w:r w:rsidRPr="00DB7230">
              <w:rPr>
                <w:rFonts w:ascii="Arial" w:hAnsi="Arial" w:cs="Arial"/>
                <w:b/>
                <w:sz w:val="22"/>
                <w:szCs w:val="22"/>
              </w:rPr>
              <w:lastRenderedPageBreak/>
              <w:t>Award Sharing</w:t>
            </w:r>
          </w:p>
        </w:tc>
        <w:tc>
          <w:tcPr>
            <w:tcW w:w="12600" w:type="dxa"/>
          </w:tcPr>
          <w:p w14:paraId="20611D85" w14:textId="58576D37" w:rsidR="000018CF" w:rsidRPr="00DB7230" w:rsidRDefault="00EF3991" w:rsidP="0062071D">
            <w:pPr>
              <w:tabs>
                <w:tab w:val="left" w:pos="-1440"/>
              </w:tabs>
              <w:spacing w:after="120"/>
              <w:rPr>
                <w:rFonts w:ascii="Arial" w:hAnsi="Arial" w:cs="Arial"/>
                <w:sz w:val="22"/>
                <w:szCs w:val="22"/>
              </w:rPr>
            </w:pPr>
            <w:r w:rsidRPr="00DB7230">
              <w:rPr>
                <w:rFonts w:ascii="Arial" w:hAnsi="Arial" w:cs="Arial"/>
                <w:sz w:val="22"/>
                <w:szCs w:val="22"/>
              </w:rPr>
              <w:t>Any recovery, whether by way of settlement or judgment, from a third party pursuant to a legal proceeding shall first be used to reimburse the initiating party and the non-initiating party for their actual fees, costs and expenses incurred in connection with such proceeding</w:t>
            </w:r>
            <w:r w:rsidR="00F45FBD" w:rsidRPr="00DB7230">
              <w:rPr>
                <w:rFonts w:ascii="Arial" w:hAnsi="Arial" w:cs="Arial"/>
                <w:sz w:val="22"/>
                <w:szCs w:val="22"/>
              </w:rPr>
              <w:t xml:space="preserve">.   The initiating party shall divide any remaining amounts from any such settlement or judgment as follows:  (i) </w:t>
            </w:r>
            <w:r w:rsidR="00F71CB6" w:rsidRPr="00DB7230">
              <w:rPr>
                <w:rFonts w:ascii="Arial" w:hAnsi="Arial" w:cs="Arial"/>
                <w:sz w:val="22"/>
                <w:szCs w:val="22"/>
              </w:rPr>
              <w:t>any recovery reflecting lost profits damages and/or reasonable royalty damages, Licensee retains or receives such recovery, and Licensor retains or receives the amount of royalties due to Licensor had those activities been performed by Licensee</w:t>
            </w:r>
            <w:r w:rsidR="00F45FBD" w:rsidRPr="00DB7230">
              <w:rPr>
                <w:rFonts w:ascii="Arial" w:hAnsi="Arial" w:cs="Arial"/>
                <w:sz w:val="22"/>
                <w:szCs w:val="22"/>
              </w:rPr>
              <w:t xml:space="preserve">, and (ii) all other remaining amounts (including any punitive or exemplary damages) are divided </w:t>
            </w:r>
            <w:r w:rsidR="008F7707" w:rsidRPr="00DB7230">
              <w:rPr>
                <w:rFonts w:ascii="Arial" w:hAnsi="Arial" w:cs="Arial"/>
                <w:sz w:val="22"/>
                <w:szCs w:val="22"/>
              </w:rPr>
              <w:t>[</w:t>
            </w:r>
            <w:r w:rsidR="00F45FBD" w:rsidRPr="00DB7230">
              <w:rPr>
                <w:rFonts w:ascii="Arial" w:hAnsi="Arial" w:cs="Arial"/>
                <w:sz w:val="22"/>
                <w:szCs w:val="22"/>
              </w:rPr>
              <w:t>75%</w:t>
            </w:r>
            <w:r w:rsidR="008F7707" w:rsidRPr="00DB7230">
              <w:rPr>
                <w:rFonts w:ascii="Arial" w:hAnsi="Arial" w:cs="Arial"/>
                <w:sz w:val="22"/>
                <w:szCs w:val="22"/>
              </w:rPr>
              <w:t>]</w:t>
            </w:r>
            <w:r w:rsidR="00F45FBD" w:rsidRPr="00DB7230">
              <w:rPr>
                <w:rFonts w:ascii="Arial" w:hAnsi="Arial" w:cs="Arial"/>
                <w:sz w:val="22"/>
                <w:szCs w:val="22"/>
              </w:rPr>
              <w:t xml:space="preserve"> </w:t>
            </w:r>
            <w:r w:rsidRPr="00DB7230">
              <w:rPr>
                <w:rFonts w:ascii="Arial" w:hAnsi="Arial" w:cs="Arial"/>
                <w:sz w:val="22"/>
                <w:szCs w:val="22"/>
              </w:rPr>
              <w:t xml:space="preserve">to the party who initiated or carried on the proceedings </w:t>
            </w:r>
            <w:r w:rsidR="00F45FBD" w:rsidRPr="00DB7230">
              <w:rPr>
                <w:rFonts w:ascii="Arial" w:hAnsi="Arial" w:cs="Arial"/>
                <w:sz w:val="22"/>
                <w:szCs w:val="22"/>
              </w:rPr>
              <w:t xml:space="preserve">and </w:t>
            </w:r>
            <w:r w:rsidR="008F7707" w:rsidRPr="00DB7230">
              <w:rPr>
                <w:rFonts w:ascii="Arial" w:hAnsi="Arial" w:cs="Arial"/>
                <w:sz w:val="22"/>
                <w:szCs w:val="22"/>
              </w:rPr>
              <w:t>[</w:t>
            </w:r>
            <w:r w:rsidR="00F45FBD" w:rsidRPr="00DB7230">
              <w:rPr>
                <w:rFonts w:ascii="Arial" w:hAnsi="Arial" w:cs="Arial"/>
                <w:sz w:val="22"/>
                <w:szCs w:val="22"/>
              </w:rPr>
              <w:t>25%</w:t>
            </w:r>
            <w:r w:rsidR="008F7707" w:rsidRPr="00DB7230">
              <w:rPr>
                <w:rFonts w:ascii="Arial" w:hAnsi="Arial" w:cs="Arial"/>
                <w:sz w:val="22"/>
                <w:szCs w:val="22"/>
              </w:rPr>
              <w:t>]</w:t>
            </w:r>
            <w:r w:rsidR="00F45FBD" w:rsidRPr="00DB7230">
              <w:rPr>
                <w:rFonts w:ascii="Arial" w:hAnsi="Arial" w:cs="Arial"/>
                <w:sz w:val="22"/>
                <w:szCs w:val="22"/>
              </w:rPr>
              <w:t xml:space="preserve"> to the other party.</w:t>
            </w:r>
            <w:r w:rsidR="00775C2B" w:rsidRPr="00DB7230">
              <w:rPr>
                <w:rFonts w:ascii="Arial" w:hAnsi="Arial" w:cs="Arial"/>
                <w:sz w:val="22"/>
                <w:szCs w:val="22"/>
              </w:rPr>
              <w:t xml:space="preserve"> </w:t>
            </w:r>
          </w:p>
        </w:tc>
      </w:tr>
      <w:tr w:rsidR="00D21497" w:rsidRPr="00DB7230" w14:paraId="72078D2A" w14:textId="77777777" w:rsidTr="6C4217BD">
        <w:trPr>
          <w:trHeight w:val="249"/>
        </w:trPr>
        <w:tc>
          <w:tcPr>
            <w:tcW w:w="2047" w:type="dxa"/>
          </w:tcPr>
          <w:p w14:paraId="0000008A" w14:textId="340EF88D" w:rsidR="00D21497" w:rsidRPr="00DB7230" w:rsidRDefault="00D21497" w:rsidP="00D21497">
            <w:pPr>
              <w:tabs>
                <w:tab w:val="left" w:pos="-720"/>
              </w:tabs>
              <w:spacing w:before="96" w:after="96"/>
              <w:rPr>
                <w:rFonts w:ascii="Arial" w:hAnsi="Arial" w:cs="Arial"/>
                <w:b/>
                <w:sz w:val="22"/>
                <w:szCs w:val="22"/>
              </w:rPr>
            </w:pPr>
            <w:r w:rsidRPr="00DB7230">
              <w:rPr>
                <w:rFonts w:ascii="Arial" w:hAnsi="Arial" w:cs="Arial"/>
                <w:b/>
                <w:sz w:val="22"/>
                <w:szCs w:val="22"/>
              </w:rPr>
              <w:t>Un</w:t>
            </w:r>
            <w:r w:rsidR="00A3038B" w:rsidRPr="00DB7230">
              <w:rPr>
                <w:rFonts w:ascii="Arial" w:hAnsi="Arial" w:cs="Arial"/>
                <w:b/>
                <w:sz w:val="22"/>
                <w:szCs w:val="22"/>
              </w:rPr>
              <w:t>met Needs</w:t>
            </w:r>
            <w:r w:rsidR="00043C69" w:rsidRPr="00DB7230">
              <w:rPr>
                <w:rStyle w:val="FootnoteReference"/>
                <w:rFonts w:ascii="Arial" w:hAnsi="Arial" w:cs="Arial"/>
                <w:b/>
                <w:sz w:val="22"/>
                <w:szCs w:val="22"/>
              </w:rPr>
              <w:footnoteReference w:id="37"/>
            </w:r>
          </w:p>
        </w:tc>
        <w:tc>
          <w:tcPr>
            <w:tcW w:w="12600" w:type="dxa"/>
          </w:tcPr>
          <w:p w14:paraId="0000008B" w14:textId="4D43A54E" w:rsidR="00D21497" w:rsidRPr="00DB7230" w:rsidRDefault="00D21497" w:rsidP="00F04CF4">
            <w:pPr>
              <w:tabs>
                <w:tab w:val="left" w:pos="-1440"/>
              </w:tabs>
              <w:spacing w:after="120"/>
              <w:rPr>
                <w:rFonts w:ascii="Arial" w:hAnsi="Arial" w:cs="Arial"/>
                <w:sz w:val="22"/>
                <w:szCs w:val="22"/>
              </w:rPr>
            </w:pPr>
            <w:r w:rsidRPr="00DB7230">
              <w:rPr>
                <w:rFonts w:ascii="Arial" w:hAnsi="Arial" w:cs="Arial"/>
                <w:sz w:val="22"/>
                <w:szCs w:val="22"/>
              </w:rPr>
              <w:t xml:space="preserve">Licensor would like Licensee to address unmet needs, such as those of neglected patient populations or geographic areas, giving particular attention to improved therapeutics, diagnostics and agricultural technologies for </w:t>
            </w:r>
            <w:proofErr w:type="gramStart"/>
            <w:r w:rsidR="00555548" w:rsidRPr="00DB7230">
              <w:rPr>
                <w:rFonts w:ascii="Arial" w:hAnsi="Arial" w:cs="Arial"/>
                <w:sz w:val="22"/>
                <w:szCs w:val="22"/>
              </w:rPr>
              <w:t>low and middle income</w:t>
            </w:r>
            <w:proofErr w:type="gramEnd"/>
            <w:r w:rsidR="00555548" w:rsidRPr="00DB7230">
              <w:rPr>
                <w:rFonts w:ascii="Arial" w:hAnsi="Arial" w:cs="Arial"/>
                <w:sz w:val="22"/>
                <w:szCs w:val="22"/>
              </w:rPr>
              <w:t xml:space="preserve"> countries</w:t>
            </w:r>
            <w:r w:rsidRPr="00DB7230">
              <w:rPr>
                <w:rFonts w:ascii="Arial" w:hAnsi="Arial" w:cs="Arial"/>
                <w:sz w:val="22"/>
                <w:szCs w:val="22"/>
              </w:rPr>
              <w:t xml:space="preserve">. If (a) Licensee is unable or unwilling to serve an unmet need for which there is an adequately-resourced company willing to be a Sublicensee, and (b) such potential Sublicensee has provided Licensee with a bona fide, detailed proposal to serve such unmet needs (which Licensee </w:t>
            </w:r>
            <w:r w:rsidR="00AE7FD5" w:rsidRPr="00DB7230">
              <w:rPr>
                <w:rFonts w:ascii="Arial" w:hAnsi="Arial" w:cs="Arial"/>
                <w:sz w:val="22"/>
                <w:szCs w:val="22"/>
              </w:rPr>
              <w:t>will</w:t>
            </w:r>
            <w:r w:rsidRPr="00DB7230">
              <w:rPr>
                <w:rFonts w:ascii="Arial" w:hAnsi="Arial" w:cs="Arial"/>
                <w:sz w:val="22"/>
                <w:szCs w:val="22"/>
              </w:rPr>
              <w:t xml:space="preserve"> provide to Licensor), then, unless Licensee can demonstrate to Licensor’s reasonable satisfaction that Licensee will serve such unmet need itself</w:t>
            </w:r>
            <w:r w:rsidR="00BA7E18" w:rsidRPr="00DB7230">
              <w:rPr>
                <w:rFonts w:ascii="Arial" w:hAnsi="Arial" w:cs="Arial"/>
                <w:sz w:val="22"/>
                <w:szCs w:val="22"/>
              </w:rPr>
              <w:t xml:space="preserve"> or through another third party</w:t>
            </w:r>
            <w:r w:rsidRPr="00DB7230">
              <w:rPr>
                <w:rFonts w:ascii="Arial" w:hAnsi="Arial" w:cs="Arial"/>
                <w:sz w:val="22"/>
                <w:szCs w:val="22"/>
              </w:rPr>
              <w:t xml:space="preserve">, Licensee </w:t>
            </w:r>
            <w:r w:rsidR="00AE7FD5" w:rsidRPr="00DB7230">
              <w:rPr>
                <w:rFonts w:ascii="Arial" w:hAnsi="Arial" w:cs="Arial"/>
                <w:sz w:val="22"/>
                <w:szCs w:val="22"/>
              </w:rPr>
              <w:t>will</w:t>
            </w:r>
            <w:r w:rsidRPr="00DB7230">
              <w:rPr>
                <w:rFonts w:ascii="Arial" w:hAnsi="Arial" w:cs="Arial"/>
                <w:sz w:val="22"/>
                <w:szCs w:val="22"/>
              </w:rPr>
              <w:t xml:space="preserve">, at Licensor’s request, negotiate in good faith a Sublicense with said potential Sublicensee </w:t>
            </w:r>
            <w:r w:rsidR="00B61CA7" w:rsidRPr="00DB7230">
              <w:rPr>
                <w:rFonts w:ascii="Arial" w:hAnsi="Arial" w:cs="Arial"/>
                <w:sz w:val="22"/>
                <w:szCs w:val="22"/>
              </w:rPr>
              <w:t>on reasonable commercial terms</w:t>
            </w:r>
            <w:r w:rsidRPr="00DB7230">
              <w:rPr>
                <w:rFonts w:ascii="Arial" w:hAnsi="Arial" w:cs="Arial"/>
                <w:sz w:val="22"/>
                <w:szCs w:val="22"/>
              </w:rPr>
              <w:t xml:space="preserve">. If the Sublicense is not executed within </w:t>
            </w:r>
            <w:r w:rsidR="00BA7E18" w:rsidRPr="00DB7230">
              <w:rPr>
                <w:rFonts w:ascii="Arial" w:hAnsi="Arial" w:cs="Arial"/>
                <w:sz w:val="22"/>
                <w:szCs w:val="22"/>
              </w:rPr>
              <w:t>[12]</w:t>
            </w:r>
            <w:r w:rsidRPr="00DB7230">
              <w:rPr>
                <w:rFonts w:ascii="Arial" w:hAnsi="Arial" w:cs="Arial"/>
                <w:sz w:val="22"/>
                <w:szCs w:val="22"/>
              </w:rPr>
              <w:t xml:space="preserve"> months, then Licensor has the right to grant a license</w:t>
            </w:r>
            <w:r w:rsidR="00B61CA7" w:rsidRPr="00DB7230">
              <w:rPr>
                <w:rFonts w:ascii="Arial" w:hAnsi="Arial" w:cs="Arial"/>
                <w:sz w:val="22"/>
                <w:szCs w:val="22"/>
              </w:rPr>
              <w:t xml:space="preserve"> </w:t>
            </w:r>
            <w:r w:rsidR="00BA7E18" w:rsidRPr="00DB7230">
              <w:rPr>
                <w:rFonts w:ascii="Arial" w:hAnsi="Arial" w:cs="Arial"/>
                <w:sz w:val="22"/>
                <w:szCs w:val="22"/>
              </w:rPr>
              <w:t xml:space="preserve">to serve such unmet need exclusively or non-exclusively, </w:t>
            </w:r>
            <w:r w:rsidR="00B61CA7" w:rsidRPr="00DB7230">
              <w:rPr>
                <w:rFonts w:ascii="Arial" w:hAnsi="Arial" w:cs="Arial"/>
                <w:sz w:val="22"/>
                <w:szCs w:val="22"/>
              </w:rPr>
              <w:t>on reasonable commercial terms that</w:t>
            </w:r>
            <w:r w:rsidR="00BA7E18" w:rsidRPr="00DB7230">
              <w:rPr>
                <w:rFonts w:ascii="Arial" w:hAnsi="Arial" w:cs="Arial"/>
                <w:sz w:val="22"/>
                <w:szCs w:val="22"/>
              </w:rPr>
              <w:t>,</w:t>
            </w:r>
            <w:r w:rsidR="00B61CA7" w:rsidRPr="00DB7230">
              <w:rPr>
                <w:rFonts w:ascii="Arial" w:hAnsi="Arial" w:cs="Arial"/>
                <w:sz w:val="22"/>
                <w:szCs w:val="22"/>
              </w:rPr>
              <w:t xml:space="preserve"> </w:t>
            </w:r>
            <w:r w:rsidR="00BA7E18" w:rsidRPr="00DB7230">
              <w:rPr>
                <w:rFonts w:ascii="Arial" w:hAnsi="Arial" w:cs="Arial"/>
                <w:sz w:val="22"/>
                <w:szCs w:val="22"/>
              </w:rPr>
              <w:t xml:space="preserve">in the judgement of Licensee, </w:t>
            </w:r>
            <w:r w:rsidR="00B61CA7" w:rsidRPr="00DB7230">
              <w:rPr>
                <w:rFonts w:ascii="Arial" w:hAnsi="Arial" w:cs="Arial"/>
                <w:sz w:val="22"/>
                <w:szCs w:val="22"/>
              </w:rPr>
              <w:t xml:space="preserve">will not impair </w:t>
            </w:r>
            <w:r w:rsidR="00BA7E18" w:rsidRPr="00DB7230">
              <w:rPr>
                <w:rFonts w:ascii="Arial" w:hAnsi="Arial" w:cs="Arial"/>
                <w:sz w:val="22"/>
                <w:szCs w:val="22"/>
              </w:rPr>
              <w:t>its</w:t>
            </w:r>
            <w:r w:rsidR="00B61CA7" w:rsidRPr="00DB7230">
              <w:rPr>
                <w:rFonts w:ascii="Arial" w:hAnsi="Arial" w:cs="Arial"/>
                <w:sz w:val="22"/>
                <w:szCs w:val="22"/>
              </w:rPr>
              <w:t xml:space="preserve"> busines</w:t>
            </w:r>
            <w:r w:rsidR="00C04968" w:rsidRPr="00DB7230">
              <w:rPr>
                <w:rFonts w:ascii="Arial" w:hAnsi="Arial" w:cs="Arial"/>
                <w:sz w:val="22"/>
                <w:szCs w:val="22"/>
              </w:rPr>
              <w:t>s</w:t>
            </w:r>
            <w:r w:rsidRPr="00DB7230">
              <w:rPr>
                <w:rFonts w:ascii="Arial" w:hAnsi="Arial" w:cs="Arial"/>
                <w:sz w:val="22"/>
                <w:szCs w:val="22"/>
              </w:rPr>
              <w:t xml:space="preserve">, and Licensor </w:t>
            </w:r>
            <w:r w:rsidR="00AE7FD5" w:rsidRPr="00DB7230">
              <w:rPr>
                <w:rFonts w:ascii="Arial" w:hAnsi="Arial" w:cs="Arial"/>
                <w:sz w:val="22"/>
                <w:szCs w:val="22"/>
              </w:rPr>
              <w:t>will</w:t>
            </w:r>
            <w:r w:rsidRPr="00DB7230">
              <w:rPr>
                <w:rFonts w:ascii="Arial" w:hAnsi="Arial" w:cs="Arial"/>
                <w:sz w:val="22"/>
                <w:szCs w:val="22"/>
              </w:rPr>
              <w:t xml:space="preserve"> notify Licensee of such a license. </w:t>
            </w:r>
            <w:r w:rsidR="00B61CA7" w:rsidRPr="00DB7230">
              <w:rPr>
                <w:rFonts w:ascii="Arial" w:hAnsi="Arial" w:cs="Arial"/>
                <w:sz w:val="22"/>
                <w:szCs w:val="22"/>
                <w:shd w:val="clear" w:color="auto" w:fill="FFFFFF"/>
              </w:rPr>
              <w:t xml:space="preserve">Notwithstanding the foregoing, in no event </w:t>
            </w:r>
            <w:r w:rsidR="00AE7FD5" w:rsidRPr="00DB7230">
              <w:rPr>
                <w:rFonts w:ascii="Arial" w:hAnsi="Arial" w:cs="Arial"/>
                <w:sz w:val="22"/>
                <w:szCs w:val="22"/>
                <w:shd w:val="clear" w:color="auto" w:fill="FFFFFF"/>
              </w:rPr>
              <w:t>will</w:t>
            </w:r>
            <w:r w:rsidR="00B61CA7" w:rsidRPr="00DB7230">
              <w:rPr>
                <w:rFonts w:ascii="Arial" w:hAnsi="Arial" w:cs="Arial"/>
                <w:sz w:val="22"/>
                <w:szCs w:val="22"/>
                <w:shd w:val="clear" w:color="auto" w:fill="FFFFFF"/>
              </w:rPr>
              <w:t xml:space="preserve"> </w:t>
            </w:r>
            <w:r w:rsidR="00B61CA7" w:rsidRPr="00DB7230">
              <w:rPr>
                <w:rFonts w:ascii="Arial" w:hAnsi="Arial" w:cs="Arial"/>
                <w:sz w:val="22"/>
                <w:szCs w:val="22"/>
              </w:rPr>
              <w:t>Licensee be compelled to negotiate a Sublicense [within the field of X/for X indications], it being understood and agreed that any such Sublicense would be competitive with or otherwise materially impair Licensee's business as proposed to be conducted.</w:t>
            </w:r>
          </w:p>
        </w:tc>
      </w:tr>
      <w:tr w:rsidR="00D21497" w:rsidRPr="00DB7230" w14:paraId="1AC845F2" w14:textId="77777777" w:rsidTr="6C4217BD">
        <w:trPr>
          <w:trHeight w:val="249"/>
        </w:trPr>
        <w:tc>
          <w:tcPr>
            <w:tcW w:w="2047" w:type="dxa"/>
          </w:tcPr>
          <w:p w14:paraId="0000008E" w14:textId="77777777" w:rsidR="00D21497" w:rsidRPr="00DB7230" w:rsidRDefault="00D21497" w:rsidP="00D21497">
            <w:pPr>
              <w:tabs>
                <w:tab w:val="left" w:pos="-720"/>
              </w:tabs>
              <w:spacing w:before="96" w:after="96"/>
              <w:rPr>
                <w:rFonts w:ascii="Arial" w:hAnsi="Arial" w:cs="Arial"/>
                <w:b/>
                <w:sz w:val="22"/>
                <w:szCs w:val="22"/>
              </w:rPr>
            </w:pPr>
            <w:r w:rsidRPr="00DB7230">
              <w:rPr>
                <w:rFonts w:ascii="Arial" w:hAnsi="Arial" w:cs="Arial"/>
                <w:b/>
                <w:sz w:val="22"/>
                <w:szCs w:val="22"/>
              </w:rPr>
              <w:t>Institution Reservation of Rights</w:t>
            </w:r>
          </w:p>
        </w:tc>
        <w:tc>
          <w:tcPr>
            <w:tcW w:w="12600" w:type="dxa"/>
          </w:tcPr>
          <w:p w14:paraId="0000008F" w14:textId="546276AE" w:rsidR="00D21497" w:rsidRPr="00DB7230" w:rsidRDefault="00D21497" w:rsidP="00F04CF4">
            <w:pPr>
              <w:tabs>
                <w:tab w:val="left" w:pos="-1440"/>
              </w:tabs>
              <w:spacing w:after="120"/>
              <w:rPr>
                <w:rFonts w:ascii="Arial" w:hAnsi="Arial" w:cs="Arial"/>
                <w:sz w:val="22"/>
                <w:szCs w:val="22"/>
              </w:rPr>
            </w:pPr>
            <w:r w:rsidRPr="00DB7230">
              <w:rPr>
                <w:rFonts w:ascii="Arial" w:hAnsi="Arial" w:cs="Arial"/>
                <w:sz w:val="22"/>
                <w:szCs w:val="22"/>
              </w:rPr>
              <w:t>Without limiting any other rights it may have, Licensor retains, on behalf of itself, the right to practice or have practiced the Patent Rights</w:t>
            </w:r>
            <w:r w:rsidR="001C610E" w:rsidRPr="00DB7230">
              <w:rPr>
                <w:rFonts w:ascii="Arial" w:hAnsi="Arial" w:cs="Arial"/>
                <w:sz w:val="22"/>
                <w:szCs w:val="22"/>
              </w:rPr>
              <w:t>,</w:t>
            </w:r>
            <w:r w:rsidRPr="00DB7230">
              <w:rPr>
                <w:rFonts w:ascii="Arial" w:hAnsi="Arial" w:cs="Arial"/>
                <w:sz w:val="22"/>
                <w:szCs w:val="22"/>
              </w:rPr>
              <w:t xml:space="preserve"> and </w:t>
            </w:r>
            <w:r w:rsidR="001C610E" w:rsidRPr="00DB7230">
              <w:rPr>
                <w:rFonts w:ascii="Arial" w:hAnsi="Arial" w:cs="Arial"/>
                <w:sz w:val="22"/>
                <w:szCs w:val="22"/>
              </w:rPr>
              <w:t xml:space="preserve">to </w:t>
            </w:r>
            <w:r w:rsidRPr="00DB7230">
              <w:rPr>
                <w:rFonts w:ascii="Arial" w:hAnsi="Arial" w:cs="Arial"/>
                <w:sz w:val="22"/>
                <w:szCs w:val="22"/>
              </w:rPr>
              <w:t>use or have used the Licensed Know-How for any research, public service, internal (excluding any studies that are required to be reported to the FDA under 21 CFR Parts 58 and/or 312) and/or educational purposes</w:t>
            </w:r>
            <w:r w:rsidR="00646B7F" w:rsidRPr="00DB7230">
              <w:rPr>
                <w:rFonts w:ascii="Arial" w:hAnsi="Arial" w:cs="Arial"/>
                <w:sz w:val="22"/>
                <w:szCs w:val="22"/>
              </w:rPr>
              <w:t xml:space="preserve"> </w:t>
            </w:r>
            <w:r w:rsidRPr="00DB7230">
              <w:rPr>
                <w:rFonts w:ascii="Arial" w:hAnsi="Arial" w:cs="Arial"/>
                <w:sz w:val="22"/>
                <w:szCs w:val="22"/>
              </w:rPr>
              <w:t xml:space="preserve"> with non-profit research institutions, </w:t>
            </w:r>
            <w:r w:rsidR="00646B7F" w:rsidRPr="00DB7230">
              <w:rPr>
                <w:rFonts w:ascii="Arial" w:hAnsi="Arial" w:cs="Arial"/>
                <w:sz w:val="22"/>
                <w:szCs w:val="22"/>
              </w:rPr>
              <w:t xml:space="preserve">including sponsored research and collaborations with such non-profit research institutions, </w:t>
            </w:r>
            <w:r w:rsidRPr="00DB7230">
              <w:rPr>
                <w:rFonts w:ascii="Arial" w:hAnsi="Arial" w:cs="Arial"/>
                <w:sz w:val="22"/>
                <w:szCs w:val="22"/>
              </w:rPr>
              <w:t>and to publish their respective results, and the right to grant the same limited rights to other non-profit research institutions</w:t>
            </w:r>
            <w:r w:rsidR="000D6006" w:rsidRPr="00DB7230">
              <w:rPr>
                <w:rFonts w:ascii="Arial" w:hAnsi="Arial" w:cs="Arial"/>
                <w:sz w:val="22"/>
                <w:szCs w:val="22"/>
              </w:rPr>
              <w:t>; provide</w:t>
            </w:r>
            <w:r w:rsidR="001C610E" w:rsidRPr="00DB7230">
              <w:rPr>
                <w:rFonts w:ascii="Arial" w:hAnsi="Arial" w:cs="Arial"/>
                <w:sz w:val="22"/>
                <w:szCs w:val="22"/>
              </w:rPr>
              <w:t>d</w:t>
            </w:r>
            <w:r w:rsidR="000D6006" w:rsidRPr="00DB7230">
              <w:rPr>
                <w:rFonts w:ascii="Arial" w:hAnsi="Arial" w:cs="Arial"/>
                <w:sz w:val="22"/>
                <w:szCs w:val="22"/>
              </w:rPr>
              <w:t xml:space="preserve"> that Licensor </w:t>
            </w:r>
            <w:r w:rsidR="00AE7FD5" w:rsidRPr="00DB7230">
              <w:rPr>
                <w:rFonts w:ascii="Arial" w:hAnsi="Arial" w:cs="Arial"/>
                <w:sz w:val="22"/>
                <w:szCs w:val="22"/>
              </w:rPr>
              <w:t>will</w:t>
            </w:r>
            <w:r w:rsidR="00391AFC" w:rsidRPr="00DB7230">
              <w:rPr>
                <w:rFonts w:ascii="Arial" w:hAnsi="Arial" w:cs="Arial"/>
                <w:sz w:val="22"/>
                <w:szCs w:val="22"/>
              </w:rPr>
              <w:t>, and will include in any grant of rights to such non-profit research institutions the obligation to,</w:t>
            </w:r>
            <w:r w:rsidR="00577F0F" w:rsidRPr="00DB7230">
              <w:rPr>
                <w:rFonts w:ascii="Arial" w:hAnsi="Arial" w:cs="Arial"/>
                <w:sz w:val="22"/>
                <w:szCs w:val="22"/>
              </w:rPr>
              <w:t xml:space="preserve"> use its best efforts to</w:t>
            </w:r>
            <w:r w:rsidR="000D6006" w:rsidRPr="00DB7230">
              <w:rPr>
                <w:rFonts w:ascii="Arial" w:hAnsi="Arial" w:cs="Arial"/>
                <w:sz w:val="22"/>
                <w:szCs w:val="22"/>
              </w:rPr>
              <w:t xml:space="preserve"> provide a draft of any planned disclosure </w:t>
            </w:r>
            <w:r w:rsidR="0085481A" w:rsidRPr="00DB7230">
              <w:rPr>
                <w:rFonts w:ascii="Arial" w:hAnsi="Arial" w:cs="Arial"/>
                <w:sz w:val="22"/>
                <w:szCs w:val="22"/>
              </w:rPr>
              <w:t xml:space="preserve">from </w:t>
            </w:r>
            <w:r w:rsidR="0085481A" w:rsidRPr="00DB7230">
              <w:rPr>
                <w:rFonts w:ascii="Arial" w:hAnsi="Arial" w:cs="Arial"/>
                <w:color w:val="000000"/>
                <w:sz w:val="22"/>
                <w:szCs w:val="22"/>
              </w:rPr>
              <w:t xml:space="preserve">the laboratory of [Principal Investigator] </w:t>
            </w:r>
            <w:r w:rsidR="000D6006" w:rsidRPr="00DB7230">
              <w:rPr>
                <w:rFonts w:ascii="Arial" w:hAnsi="Arial" w:cs="Arial"/>
                <w:sz w:val="22"/>
                <w:szCs w:val="22"/>
              </w:rPr>
              <w:t>based upon the foregoing to Licensee 45 days in advance, and if Licensee determines new patent applications need to be filed in order to protect the Patent Rights, Licensed Know-How or Improvements, then Licensor agrees to delay such disclosure by an additional delay of 4</w:t>
            </w:r>
            <w:r w:rsidR="001C610E" w:rsidRPr="00DB7230">
              <w:rPr>
                <w:rFonts w:ascii="Arial" w:hAnsi="Arial" w:cs="Arial"/>
                <w:sz w:val="22"/>
                <w:szCs w:val="22"/>
              </w:rPr>
              <w:t>5</w:t>
            </w:r>
            <w:r w:rsidR="000D6006" w:rsidRPr="00DB7230">
              <w:rPr>
                <w:rFonts w:ascii="Arial" w:hAnsi="Arial" w:cs="Arial"/>
                <w:sz w:val="22"/>
                <w:szCs w:val="22"/>
              </w:rPr>
              <w:t xml:space="preserve"> days during which the Licensee </w:t>
            </w:r>
            <w:r w:rsidR="00AE7FD5" w:rsidRPr="00DB7230">
              <w:rPr>
                <w:rFonts w:ascii="Arial" w:hAnsi="Arial" w:cs="Arial"/>
                <w:sz w:val="22"/>
                <w:szCs w:val="22"/>
              </w:rPr>
              <w:t>will</w:t>
            </w:r>
            <w:r w:rsidR="000D6006" w:rsidRPr="00DB7230">
              <w:rPr>
                <w:rFonts w:ascii="Arial" w:hAnsi="Arial" w:cs="Arial"/>
                <w:sz w:val="22"/>
                <w:szCs w:val="22"/>
              </w:rPr>
              <w:t xml:space="preserve"> prepare and file patent applications with respect to the foregoing at its own cost.</w:t>
            </w:r>
            <w:r w:rsidR="009F1067" w:rsidRPr="00DB7230">
              <w:rPr>
                <w:rFonts w:ascii="Arial" w:hAnsi="Arial" w:cs="Arial"/>
                <w:sz w:val="22"/>
                <w:szCs w:val="22"/>
              </w:rPr>
              <w:t xml:space="preserve"> The grant of </w:t>
            </w:r>
            <w:r w:rsidR="009F1067" w:rsidRPr="00DB7230">
              <w:rPr>
                <w:rFonts w:ascii="Arial" w:hAnsi="Arial" w:cs="Arial"/>
                <w:sz w:val="22"/>
                <w:szCs w:val="22"/>
              </w:rPr>
              <w:lastRenderedPageBreak/>
              <w:t>rights to the Licensed Technology is subject to any existing right of the U.S. Government under Title 35, United States Code, Section 200 et seq. and under 37 Code of Federal Regulations, Section 401 et seq., (the (“</w:t>
            </w:r>
            <w:r w:rsidR="009F1067" w:rsidRPr="00DB7230">
              <w:rPr>
                <w:rFonts w:ascii="Arial" w:hAnsi="Arial" w:cs="Arial"/>
                <w:b/>
                <w:bCs/>
                <w:sz w:val="22"/>
                <w:szCs w:val="22"/>
              </w:rPr>
              <w:t>Bayh Dole Act</w:t>
            </w:r>
            <w:r w:rsidR="009F1067" w:rsidRPr="00DB7230">
              <w:rPr>
                <w:rFonts w:ascii="Arial" w:hAnsi="Arial" w:cs="Arial"/>
                <w:sz w:val="22"/>
                <w:szCs w:val="22"/>
              </w:rPr>
              <w:t>”) including but not limited to the grant to the U.S. Government of a nonexclusive, nontransferable, irrevocable, paid-up license to practice or have practiced any invention conceived or first actually reduced to practice in the performance of work for or on behalf of the U.S. Government throughout the world. Licensed Products shall be substantially manufactured in the United States to the extent (if at all) required by 35 U.S.C. Section 204.</w:t>
            </w:r>
            <w:r w:rsidR="007C6730">
              <w:rPr>
                <w:rStyle w:val="FootnoteReference"/>
                <w:rFonts w:ascii="Arial" w:hAnsi="Arial" w:cs="Arial"/>
                <w:sz w:val="22"/>
                <w:szCs w:val="22"/>
              </w:rPr>
              <w:footnoteReference w:id="38"/>
            </w:r>
          </w:p>
        </w:tc>
      </w:tr>
      <w:tr w:rsidR="00AE7FD5" w:rsidRPr="00DB7230" w14:paraId="38405EC8" w14:textId="77777777" w:rsidTr="0062071D">
        <w:trPr>
          <w:trHeight w:val="249"/>
        </w:trPr>
        <w:tc>
          <w:tcPr>
            <w:tcW w:w="2047" w:type="dxa"/>
          </w:tcPr>
          <w:p w14:paraId="6AFA83BA" w14:textId="1728341F" w:rsidR="00AE7FD5" w:rsidRPr="00DB7230" w:rsidRDefault="00AE7FD5" w:rsidP="00D21497">
            <w:pPr>
              <w:tabs>
                <w:tab w:val="left" w:pos="-720"/>
              </w:tabs>
              <w:spacing w:before="96" w:after="96"/>
              <w:rPr>
                <w:rFonts w:ascii="Arial" w:hAnsi="Arial" w:cs="Arial"/>
                <w:b/>
                <w:sz w:val="22"/>
                <w:szCs w:val="22"/>
              </w:rPr>
            </w:pPr>
            <w:r w:rsidRPr="00DB7230">
              <w:rPr>
                <w:rFonts w:ascii="Arial" w:hAnsi="Arial" w:cs="Arial"/>
                <w:b/>
                <w:sz w:val="22"/>
                <w:szCs w:val="22"/>
              </w:rPr>
              <w:lastRenderedPageBreak/>
              <w:t>Audit</w:t>
            </w:r>
          </w:p>
        </w:tc>
        <w:tc>
          <w:tcPr>
            <w:tcW w:w="12600" w:type="dxa"/>
            <w:shd w:val="clear" w:color="auto" w:fill="auto"/>
          </w:tcPr>
          <w:p w14:paraId="279C74FA" w14:textId="6DC1ACE7" w:rsidR="00AE7FD5" w:rsidRPr="00DB7230" w:rsidRDefault="00E02AA5" w:rsidP="00014E80">
            <w:pPr>
              <w:rPr>
                <w:rFonts w:ascii="Arial" w:hAnsi="Arial" w:cs="Arial"/>
                <w:sz w:val="22"/>
                <w:szCs w:val="22"/>
              </w:rPr>
            </w:pPr>
            <w:r w:rsidRPr="00DB7230">
              <w:rPr>
                <w:rFonts w:ascii="Arial" w:hAnsi="Arial" w:cs="Arial"/>
                <w:sz w:val="22"/>
                <w:szCs w:val="22"/>
              </w:rPr>
              <w:t xml:space="preserve">No more than once per calendar year, </w:t>
            </w:r>
            <w:r w:rsidR="00014E80" w:rsidRPr="00DB7230">
              <w:rPr>
                <w:rFonts w:ascii="Arial" w:hAnsi="Arial" w:cs="Arial"/>
                <w:sz w:val="22"/>
                <w:szCs w:val="22"/>
              </w:rPr>
              <w:t>Licensor</w:t>
            </w:r>
            <w:r w:rsidRPr="00DB7230">
              <w:rPr>
                <w:rFonts w:ascii="Arial" w:hAnsi="Arial" w:cs="Arial"/>
                <w:sz w:val="22"/>
                <w:szCs w:val="22"/>
              </w:rPr>
              <w:t xml:space="preserve"> may appoint a</w:t>
            </w:r>
            <w:r w:rsidR="00014E80" w:rsidRPr="00DB7230">
              <w:rPr>
                <w:rFonts w:ascii="Arial" w:hAnsi="Arial" w:cs="Arial"/>
                <w:sz w:val="22"/>
                <w:szCs w:val="22"/>
              </w:rPr>
              <w:t xml:space="preserve"> </w:t>
            </w:r>
            <w:r w:rsidR="00EB07AA" w:rsidRPr="00DB7230">
              <w:rPr>
                <w:rFonts w:ascii="Arial" w:hAnsi="Arial" w:cs="Arial"/>
                <w:sz w:val="22"/>
                <w:szCs w:val="22"/>
              </w:rPr>
              <w:t>qualified</w:t>
            </w:r>
            <w:r w:rsidR="00014E80" w:rsidRPr="00DB7230">
              <w:rPr>
                <w:rFonts w:ascii="Arial" w:hAnsi="Arial" w:cs="Arial"/>
                <w:sz w:val="22"/>
                <w:szCs w:val="22"/>
              </w:rPr>
              <w:t xml:space="preserve"> audit firm</w:t>
            </w:r>
            <w:r w:rsidRPr="00DB7230">
              <w:rPr>
                <w:rFonts w:ascii="Arial" w:hAnsi="Arial" w:cs="Arial"/>
                <w:sz w:val="22"/>
                <w:szCs w:val="22"/>
              </w:rPr>
              <w:t xml:space="preserve"> to </w:t>
            </w:r>
            <w:r w:rsidR="00014E80" w:rsidRPr="00DB7230">
              <w:rPr>
                <w:rFonts w:ascii="Arial" w:hAnsi="Arial" w:cs="Arial"/>
                <w:sz w:val="22"/>
                <w:szCs w:val="22"/>
              </w:rPr>
              <w:t xml:space="preserve">audit Licensee’s books and records relating to Licensee’s </w:t>
            </w:r>
            <w:r w:rsidRPr="00DB7230">
              <w:rPr>
                <w:rFonts w:ascii="Arial" w:hAnsi="Arial" w:cs="Arial"/>
                <w:sz w:val="22"/>
                <w:szCs w:val="22"/>
              </w:rPr>
              <w:t>payments under</w:t>
            </w:r>
            <w:r w:rsidR="00014E80" w:rsidRPr="00DB7230">
              <w:rPr>
                <w:rFonts w:ascii="Arial" w:hAnsi="Arial" w:cs="Arial"/>
                <w:sz w:val="22"/>
                <w:szCs w:val="22"/>
              </w:rPr>
              <w:t> the License Agreement</w:t>
            </w:r>
            <w:r w:rsidR="006A262C" w:rsidRPr="00DB7230">
              <w:rPr>
                <w:rFonts w:ascii="Arial" w:hAnsi="Arial" w:cs="Arial"/>
                <w:sz w:val="22"/>
                <w:szCs w:val="22"/>
              </w:rPr>
              <w:t>.  Such audit shall be conducted</w:t>
            </w:r>
            <w:r w:rsidR="00014E80" w:rsidRPr="00DB7230">
              <w:rPr>
                <w:rFonts w:ascii="Arial" w:hAnsi="Arial" w:cs="Arial"/>
                <w:sz w:val="22"/>
                <w:szCs w:val="22"/>
              </w:rPr>
              <w:t xml:space="preserve"> during normal business hours</w:t>
            </w:r>
            <w:r w:rsidR="006A262C" w:rsidRPr="00DB7230">
              <w:rPr>
                <w:rFonts w:ascii="Arial" w:hAnsi="Arial" w:cs="Arial"/>
                <w:sz w:val="22"/>
                <w:szCs w:val="22"/>
              </w:rPr>
              <w:t xml:space="preserve"> </w:t>
            </w:r>
            <w:r w:rsidR="00014E80" w:rsidRPr="00DB7230">
              <w:rPr>
                <w:rFonts w:ascii="Arial" w:hAnsi="Arial" w:cs="Arial"/>
                <w:sz w:val="22"/>
                <w:szCs w:val="22"/>
              </w:rPr>
              <w:t xml:space="preserve">without unreasonable disruption to Licensee’s business, upon 30 days’ advance written notice to </w:t>
            </w:r>
            <w:r w:rsidR="001C610E" w:rsidRPr="00DB7230">
              <w:rPr>
                <w:rFonts w:ascii="Arial" w:hAnsi="Arial" w:cs="Arial"/>
                <w:sz w:val="22"/>
                <w:szCs w:val="22"/>
              </w:rPr>
              <w:t>L</w:t>
            </w:r>
            <w:r w:rsidR="00014E80" w:rsidRPr="00DB7230">
              <w:rPr>
                <w:rFonts w:ascii="Arial" w:hAnsi="Arial" w:cs="Arial"/>
                <w:sz w:val="22"/>
                <w:szCs w:val="22"/>
              </w:rPr>
              <w:t xml:space="preserve">icensee.  </w:t>
            </w:r>
            <w:proofErr w:type="gramStart"/>
            <w:r w:rsidR="00014E80" w:rsidRPr="00DB7230">
              <w:rPr>
                <w:rFonts w:ascii="Arial" w:hAnsi="Arial" w:cs="Arial"/>
                <w:sz w:val="22"/>
                <w:szCs w:val="22"/>
              </w:rPr>
              <w:t>In the event that</w:t>
            </w:r>
            <w:proofErr w:type="gramEnd"/>
            <w:r w:rsidR="00014E80" w:rsidRPr="00DB7230">
              <w:rPr>
                <w:rFonts w:ascii="Arial" w:hAnsi="Arial" w:cs="Arial"/>
                <w:sz w:val="22"/>
                <w:szCs w:val="22"/>
              </w:rPr>
              <w:t xml:space="preserve"> the audit discloses an underpayment greater than [5-10%] of the amount due, Licensee shall bear the costs of the audit.  </w:t>
            </w:r>
          </w:p>
        </w:tc>
      </w:tr>
      <w:tr w:rsidR="00D21497" w:rsidRPr="00DB7230" w14:paraId="10301E0C" w14:textId="77777777" w:rsidTr="6C4217BD">
        <w:trPr>
          <w:trHeight w:val="249"/>
        </w:trPr>
        <w:tc>
          <w:tcPr>
            <w:tcW w:w="2047" w:type="dxa"/>
          </w:tcPr>
          <w:p w14:paraId="00000090" w14:textId="2B4DF309" w:rsidR="00D21497" w:rsidRPr="00DB7230" w:rsidRDefault="00D21497" w:rsidP="00D21497">
            <w:pPr>
              <w:tabs>
                <w:tab w:val="left" w:pos="-720"/>
              </w:tabs>
              <w:spacing w:before="96" w:after="96"/>
              <w:rPr>
                <w:rFonts w:ascii="Arial" w:hAnsi="Arial" w:cs="Arial"/>
                <w:b/>
                <w:sz w:val="22"/>
                <w:szCs w:val="22"/>
              </w:rPr>
            </w:pPr>
            <w:r w:rsidRPr="00DB7230">
              <w:rPr>
                <w:rFonts w:ascii="Arial" w:hAnsi="Arial" w:cs="Arial"/>
                <w:b/>
                <w:sz w:val="22"/>
                <w:szCs w:val="22"/>
              </w:rPr>
              <w:t>Board Observer</w:t>
            </w:r>
          </w:p>
        </w:tc>
        <w:tc>
          <w:tcPr>
            <w:tcW w:w="12600" w:type="dxa"/>
          </w:tcPr>
          <w:p w14:paraId="00000091" w14:textId="4ED6AC93" w:rsidR="00D21497" w:rsidRPr="00DB7230" w:rsidRDefault="009334E6" w:rsidP="00F04CF4">
            <w:pPr>
              <w:tabs>
                <w:tab w:val="left" w:pos="-1440"/>
              </w:tabs>
              <w:spacing w:after="120"/>
              <w:rPr>
                <w:rFonts w:ascii="Arial" w:hAnsi="Arial" w:cs="Arial"/>
                <w:sz w:val="22"/>
                <w:szCs w:val="22"/>
              </w:rPr>
            </w:pPr>
            <w:r w:rsidRPr="00DB7230">
              <w:rPr>
                <w:rFonts w:ascii="Arial" w:hAnsi="Arial" w:cs="Arial"/>
                <w:sz w:val="22"/>
                <w:szCs w:val="22"/>
              </w:rPr>
              <w:t>U</w:t>
            </w:r>
            <w:r w:rsidR="00C86D8B">
              <w:rPr>
                <w:rFonts w:ascii="Arial" w:hAnsi="Arial" w:cs="Arial"/>
                <w:sz w:val="22"/>
                <w:szCs w:val="22"/>
              </w:rPr>
              <w:t xml:space="preserve">nless otherwise agreed by the parties, Licensor shall lose its Board observer seat (if any) when </w:t>
            </w:r>
            <w:r w:rsidRPr="00DB7230">
              <w:rPr>
                <w:rFonts w:ascii="Arial" w:hAnsi="Arial" w:cs="Arial"/>
                <w:sz w:val="22"/>
                <w:szCs w:val="22"/>
              </w:rPr>
              <w:t>Licensee completes its first round of institutional investment</w:t>
            </w:r>
            <w:r w:rsidR="00E81E1A" w:rsidRPr="00DB7230">
              <w:rPr>
                <w:rFonts w:ascii="Arial" w:hAnsi="Arial" w:cs="Arial"/>
                <w:sz w:val="22"/>
                <w:szCs w:val="22"/>
              </w:rPr>
              <w:t>.</w:t>
            </w:r>
          </w:p>
        </w:tc>
      </w:tr>
      <w:tr w:rsidR="00D21497" w:rsidRPr="00DB7230" w14:paraId="3AB56BA1" w14:textId="77777777" w:rsidTr="6C4217BD">
        <w:trPr>
          <w:trHeight w:val="249"/>
        </w:trPr>
        <w:tc>
          <w:tcPr>
            <w:tcW w:w="2047" w:type="dxa"/>
          </w:tcPr>
          <w:p w14:paraId="715D0F20" w14:textId="58A7407E" w:rsidR="00D21497" w:rsidRPr="00DB7230" w:rsidRDefault="00D21497" w:rsidP="00D21497">
            <w:pPr>
              <w:rPr>
                <w:rFonts w:ascii="Arial" w:hAnsi="Arial" w:cs="Arial"/>
                <w:b/>
                <w:bCs/>
                <w:sz w:val="22"/>
                <w:szCs w:val="22"/>
              </w:rPr>
            </w:pPr>
            <w:r w:rsidRPr="00DB7230">
              <w:rPr>
                <w:rFonts w:ascii="Arial" w:hAnsi="Arial" w:cs="Arial"/>
                <w:b/>
                <w:bCs/>
                <w:sz w:val="22"/>
                <w:szCs w:val="22"/>
              </w:rPr>
              <w:t>Assignment</w:t>
            </w:r>
          </w:p>
        </w:tc>
        <w:tc>
          <w:tcPr>
            <w:tcW w:w="12600" w:type="dxa"/>
          </w:tcPr>
          <w:p w14:paraId="33E032D0" w14:textId="3729909B" w:rsidR="00D21497" w:rsidRPr="00DB7230" w:rsidRDefault="00D21497" w:rsidP="00D21497">
            <w:pPr>
              <w:rPr>
                <w:rFonts w:ascii="Arial" w:hAnsi="Arial" w:cs="Arial"/>
                <w:sz w:val="22"/>
                <w:szCs w:val="22"/>
              </w:rPr>
            </w:pPr>
            <w:r w:rsidRPr="00DB7230">
              <w:rPr>
                <w:rFonts w:ascii="Arial" w:hAnsi="Arial" w:cs="Arial"/>
                <w:sz w:val="22"/>
                <w:szCs w:val="22"/>
              </w:rPr>
              <w:t xml:space="preserve">Neither party may assign the License to a third party without the prior consent of the other party; </w:t>
            </w:r>
            <w:proofErr w:type="gramStart"/>
            <w:r w:rsidRPr="00DB7230">
              <w:rPr>
                <w:rFonts w:ascii="Arial" w:hAnsi="Arial" w:cs="Arial"/>
                <w:sz w:val="22"/>
                <w:szCs w:val="22"/>
              </w:rPr>
              <w:t>provided that</w:t>
            </w:r>
            <w:proofErr w:type="gramEnd"/>
            <w:r w:rsidRPr="00DB7230">
              <w:rPr>
                <w:rFonts w:ascii="Arial" w:hAnsi="Arial" w:cs="Arial"/>
                <w:sz w:val="22"/>
                <w:szCs w:val="22"/>
              </w:rPr>
              <w:t xml:space="preserve"> Licensee may assign the License without the prior consent of Licensor </w:t>
            </w:r>
            <w:r w:rsidR="001C610E" w:rsidRPr="00DB7230">
              <w:rPr>
                <w:rFonts w:ascii="Arial" w:hAnsi="Arial" w:cs="Arial"/>
                <w:sz w:val="22"/>
                <w:szCs w:val="22"/>
              </w:rPr>
              <w:t xml:space="preserve">(i) </w:t>
            </w:r>
            <w:r w:rsidRPr="00DB7230">
              <w:rPr>
                <w:rFonts w:ascii="Arial" w:hAnsi="Arial" w:cs="Arial"/>
                <w:sz w:val="22"/>
                <w:szCs w:val="22"/>
              </w:rPr>
              <w:t xml:space="preserve">to any Affiliate and </w:t>
            </w:r>
            <w:r w:rsidR="001C610E" w:rsidRPr="00DB7230">
              <w:rPr>
                <w:rFonts w:ascii="Arial" w:hAnsi="Arial" w:cs="Arial"/>
                <w:sz w:val="22"/>
                <w:szCs w:val="22"/>
              </w:rPr>
              <w:t>(ii) in connection with</w:t>
            </w:r>
            <w:r w:rsidRPr="00DB7230">
              <w:rPr>
                <w:rFonts w:ascii="Arial" w:hAnsi="Arial" w:cs="Arial"/>
                <w:sz w:val="22"/>
                <w:szCs w:val="22"/>
              </w:rPr>
              <w:t xml:space="preserve"> </w:t>
            </w:r>
            <w:r w:rsidR="00494E2A" w:rsidRPr="00DB7230">
              <w:rPr>
                <w:rFonts w:ascii="Arial" w:hAnsi="Arial" w:cs="Arial"/>
                <w:sz w:val="22"/>
                <w:szCs w:val="22"/>
              </w:rPr>
              <w:t xml:space="preserve">a </w:t>
            </w:r>
            <w:r w:rsidR="00FB15E8" w:rsidRPr="00DB7230">
              <w:rPr>
                <w:rFonts w:ascii="Arial" w:hAnsi="Arial" w:cs="Arial"/>
                <w:sz w:val="22"/>
                <w:szCs w:val="22"/>
              </w:rPr>
              <w:t>C</w:t>
            </w:r>
            <w:r w:rsidR="00494E2A" w:rsidRPr="00DB7230">
              <w:rPr>
                <w:rFonts w:ascii="Arial" w:hAnsi="Arial" w:cs="Arial"/>
                <w:sz w:val="22"/>
                <w:szCs w:val="22"/>
              </w:rPr>
              <w:t xml:space="preserve">hange of </w:t>
            </w:r>
            <w:r w:rsidR="00FB15E8" w:rsidRPr="00DB7230">
              <w:rPr>
                <w:rFonts w:ascii="Arial" w:hAnsi="Arial" w:cs="Arial"/>
                <w:sz w:val="22"/>
                <w:szCs w:val="22"/>
              </w:rPr>
              <w:t>C</w:t>
            </w:r>
            <w:r w:rsidR="00494E2A" w:rsidRPr="00DB7230">
              <w:rPr>
                <w:rFonts w:ascii="Arial" w:hAnsi="Arial" w:cs="Arial"/>
                <w:sz w:val="22"/>
                <w:szCs w:val="22"/>
              </w:rPr>
              <w:t>ontrol.</w:t>
            </w:r>
          </w:p>
        </w:tc>
      </w:tr>
      <w:tr w:rsidR="00F62924" w:rsidRPr="00DB7230" w14:paraId="132558A6" w14:textId="09DAA79A" w:rsidTr="6C4217BD">
        <w:trPr>
          <w:trHeight w:val="249"/>
        </w:trPr>
        <w:tc>
          <w:tcPr>
            <w:tcW w:w="2047" w:type="dxa"/>
          </w:tcPr>
          <w:p w14:paraId="7A45FBA8" w14:textId="70CA24F3" w:rsidR="00F62924" w:rsidRPr="00DB7230" w:rsidRDefault="001C610E" w:rsidP="00D21497">
            <w:pPr>
              <w:rPr>
                <w:rFonts w:ascii="Arial" w:hAnsi="Arial" w:cs="Arial"/>
                <w:b/>
                <w:bCs/>
                <w:sz w:val="22"/>
                <w:szCs w:val="22"/>
              </w:rPr>
            </w:pPr>
            <w:r w:rsidRPr="00DB7230">
              <w:rPr>
                <w:rFonts w:ascii="Arial" w:hAnsi="Arial" w:cs="Arial"/>
                <w:b/>
                <w:bCs/>
                <w:sz w:val="22"/>
                <w:szCs w:val="22"/>
              </w:rPr>
              <w:t>Dispute Resolution</w:t>
            </w:r>
            <w:r w:rsidR="00926B63" w:rsidRPr="00DB7230">
              <w:rPr>
                <w:rStyle w:val="FootnoteReference"/>
                <w:rFonts w:ascii="Arial" w:hAnsi="Arial" w:cs="Arial"/>
                <w:b/>
                <w:bCs/>
                <w:sz w:val="22"/>
                <w:szCs w:val="22"/>
              </w:rPr>
              <w:footnoteReference w:id="39"/>
            </w:r>
          </w:p>
        </w:tc>
        <w:tc>
          <w:tcPr>
            <w:tcW w:w="12600" w:type="dxa"/>
          </w:tcPr>
          <w:p w14:paraId="69D45DF4" w14:textId="51586C86" w:rsidR="00F62924" w:rsidRPr="00DB7230" w:rsidRDefault="00045103" w:rsidP="00D21497">
            <w:pPr>
              <w:rPr>
                <w:rFonts w:ascii="Arial" w:hAnsi="Arial" w:cs="Arial"/>
                <w:sz w:val="22"/>
                <w:szCs w:val="22"/>
              </w:rPr>
            </w:pPr>
            <w:r w:rsidRPr="00DB7230">
              <w:rPr>
                <w:rFonts w:ascii="Arial" w:hAnsi="Arial" w:cs="Arial"/>
                <w:sz w:val="22"/>
                <w:szCs w:val="22"/>
              </w:rPr>
              <w:t xml:space="preserve">A senior representative of each party shall first engage in good faith efforts to resolve the dispute, for a period of 30 days from the date that one party notifies the other of its desire to commence Standard Dispute Resolution.  If the dispute is not resolved within such </w:t>
            </w:r>
            <w:proofErr w:type="gramStart"/>
            <w:r w:rsidRPr="00DB7230">
              <w:rPr>
                <w:rFonts w:ascii="Arial" w:hAnsi="Arial" w:cs="Arial"/>
                <w:sz w:val="22"/>
                <w:szCs w:val="22"/>
              </w:rPr>
              <w:t>time period</w:t>
            </w:r>
            <w:proofErr w:type="gramEnd"/>
            <w:r w:rsidRPr="00DB7230">
              <w:rPr>
                <w:rFonts w:ascii="Arial" w:hAnsi="Arial" w:cs="Arial"/>
                <w:sz w:val="22"/>
                <w:szCs w:val="22"/>
              </w:rPr>
              <w:t xml:space="preserve">, the parties shall submit the matter to arbitration under the AAA Commercial Arbitration Rules (with the option to use AAA Expedited Procedures by mutual agreement).  The parties must agree to a single arbitrator, and if they cannot agree, one shall be appointed by the President of the City Bar Association of the city in which one of the parties is located (the choice of such city to be determined by a coin toss), provided that sole arbitrator must be experienced in the structuring and negotiation of licenses and commercial agreements in the life sciences industry and be impartial and independent.  </w:t>
            </w:r>
            <w:r w:rsidR="00926B63" w:rsidRPr="00DB7230">
              <w:rPr>
                <w:rFonts w:ascii="Arial" w:hAnsi="Arial" w:cs="Arial"/>
                <w:sz w:val="22"/>
                <w:szCs w:val="22"/>
              </w:rPr>
              <w:t xml:space="preserve">The arbitration will be conducted over </w:t>
            </w:r>
            <w:r w:rsidR="00391AFC" w:rsidRPr="00DB7230">
              <w:rPr>
                <w:rFonts w:ascii="Arial" w:hAnsi="Arial" w:cs="Arial"/>
                <w:sz w:val="22"/>
                <w:szCs w:val="22"/>
              </w:rPr>
              <w:t>a mutually agreed upon video conferencing platform</w:t>
            </w:r>
            <w:r w:rsidR="00926B63" w:rsidRPr="00DB7230">
              <w:rPr>
                <w:rFonts w:ascii="Arial" w:hAnsi="Arial" w:cs="Arial"/>
                <w:sz w:val="22"/>
                <w:szCs w:val="22"/>
              </w:rPr>
              <w:t xml:space="preserve">, unless the parties agree to conduct it live in a mutually agreeable location.  </w:t>
            </w:r>
            <w:r w:rsidRPr="00DB7230">
              <w:rPr>
                <w:rFonts w:ascii="Arial" w:hAnsi="Arial" w:cs="Arial"/>
                <w:sz w:val="22"/>
                <w:szCs w:val="22"/>
              </w:rPr>
              <w:t>Except for the appointment of the arbitrator, which shall follow the timeline set forth in the AAA Road Map (</w:t>
            </w:r>
            <w:hyperlink r:id="rId15" w:history="1">
              <w:r w:rsidRPr="00DB7230">
                <w:rPr>
                  <w:rStyle w:val="Hyperlink"/>
                  <w:rFonts w:ascii="Arial" w:hAnsi="Arial" w:cs="Arial"/>
                  <w:sz w:val="22"/>
                  <w:szCs w:val="22"/>
                </w:rPr>
                <w:t>www.adr.org/sites/default/files/document_repository/AAA197_Arbitration_Road_Map.pdf</w:t>
              </w:r>
            </w:hyperlink>
            <w:r w:rsidRPr="00DB7230">
              <w:rPr>
                <w:rFonts w:ascii="Arial" w:hAnsi="Arial" w:cs="Arial"/>
                <w:sz w:val="22"/>
                <w:szCs w:val="22"/>
              </w:rPr>
              <w:t>), all the other time periods specified therein shall be cut in half.  The parties waive any rights to punitive damages.  The parties shall evenly share all costs of such arbitration.  This process is referred to as “</w:t>
            </w:r>
            <w:r w:rsidRPr="00DB7230">
              <w:rPr>
                <w:rFonts w:ascii="Arial" w:hAnsi="Arial" w:cs="Arial"/>
                <w:b/>
                <w:bCs/>
                <w:sz w:val="22"/>
                <w:szCs w:val="22"/>
              </w:rPr>
              <w:t>Standard Dispute Resolution</w:t>
            </w:r>
            <w:r w:rsidRPr="00DB7230">
              <w:rPr>
                <w:rFonts w:ascii="Arial" w:hAnsi="Arial" w:cs="Arial"/>
                <w:sz w:val="22"/>
                <w:szCs w:val="22"/>
              </w:rPr>
              <w:t>”.</w:t>
            </w:r>
          </w:p>
        </w:tc>
      </w:tr>
      <w:tr w:rsidR="00D21497" w:rsidRPr="00DB7230" w14:paraId="23077EA3" w14:textId="77777777" w:rsidTr="6C4217BD">
        <w:trPr>
          <w:trHeight w:val="249"/>
        </w:trPr>
        <w:tc>
          <w:tcPr>
            <w:tcW w:w="2047" w:type="dxa"/>
          </w:tcPr>
          <w:p w14:paraId="13442B0D" w14:textId="0C87D3F0" w:rsidR="00D21497" w:rsidRPr="00DB7230" w:rsidRDefault="00D21497" w:rsidP="00D21497">
            <w:pPr>
              <w:rPr>
                <w:rFonts w:ascii="Arial" w:hAnsi="Arial" w:cs="Arial"/>
                <w:b/>
                <w:bCs/>
                <w:sz w:val="22"/>
                <w:szCs w:val="22"/>
              </w:rPr>
            </w:pPr>
            <w:r w:rsidRPr="00DB7230">
              <w:rPr>
                <w:rFonts w:ascii="Arial" w:hAnsi="Arial" w:cs="Arial"/>
                <w:b/>
                <w:bCs/>
                <w:sz w:val="22"/>
                <w:szCs w:val="22"/>
              </w:rPr>
              <w:lastRenderedPageBreak/>
              <w:t>Governing Law</w:t>
            </w:r>
            <w:r w:rsidRPr="00DB7230">
              <w:rPr>
                <w:rStyle w:val="FootnoteReference"/>
                <w:rFonts w:ascii="Arial" w:hAnsi="Arial" w:cs="Arial"/>
                <w:b/>
                <w:bCs/>
                <w:sz w:val="22"/>
                <w:szCs w:val="22"/>
              </w:rPr>
              <w:footnoteReference w:id="40"/>
            </w:r>
            <w:r w:rsidR="001C610E" w:rsidRPr="00DB7230">
              <w:rPr>
                <w:rFonts w:ascii="Arial" w:hAnsi="Arial" w:cs="Arial"/>
                <w:b/>
                <w:bCs/>
                <w:sz w:val="22"/>
                <w:szCs w:val="22"/>
              </w:rPr>
              <w:t xml:space="preserve"> </w:t>
            </w:r>
          </w:p>
        </w:tc>
        <w:tc>
          <w:tcPr>
            <w:tcW w:w="12600" w:type="dxa"/>
          </w:tcPr>
          <w:p w14:paraId="46DD65F2" w14:textId="1A349B0D" w:rsidR="00D21497" w:rsidRPr="00DB7230" w:rsidRDefault="00D21497" w:rsidP="00D21497">
            <w:pPr>
              <w:rPr>
                <w:rFonts w:ascii="Arial" w:hAnsi="Arial" w:cs="Arial"/>
                <w:sz w:val="22"/>
                <w:szCs w:val="22"/>
              </w:rPr>
            </w:pPr>
          </w:p>
        </w:tc>
      </w:tr>
    </w:tbl>
    <w:p w14:paraId="00000099" w14:textId="77777777" w:rsidR="008D0DE5" w:rsidRPr="00DB7230" w:rsidRDefault="008D0DE5">
      <w:pPr>
        <w:widowControl w:val="0"/>
        <w:tabs>
          <w:tab w:val="left" w:pos="-720"/>
        </w:tabs>
        <w:rPr>
          <w:rFonts w:ascii="Arial" w:hAnsi="Arial" w:cs="Arial"/>
          <w:b/>
          <w:sz w:val="22"/>
          <w:szCs w:val="22"/>
        </w:rPr>
      </w:pPr>
    </w:p>
    <w:p w14:paraId="000000A5" w14:textId="77777777" w:rsidR="008D0DE5" w:rsidRPr="00DB7230" w:rsidRDefault="00C42A31">
      <w:pPr>
        <w:widowControl w:val="0"/>
        <w:tabs>
          <w:tab w:val="left" w:pos="-720"/>
        </w:tabs>
        <w:jc w:val="center"/>
        <w:rPr>
          <w:rFonts w:ascii="Arial" w:hAnsi="Arial" w:cs="Arial"/>
          <w:b/>
          <w:sz w:val="22"/>
          <w:szCs w:val="22"/>
          <w:u w:val="single"/>
        </w:rPr>
      </w:pPr>
      <w:r w:rsidRPr="00DB7230">
        <w:rPr>
          <w:rFonts w:ascii="Arial" w:hAnsi="Arial" w:cs="Arial"/>
          <w:b/>
          <w:sz w:val="22"/>
          <w:szCs w:val="22"/>
          <w:u w:val="single"/>
        </w:rPr>
        <w:t>Defined Terms</w:t>
      </w:r>
    </w:p>
    <w:p w14:paraId="000000A6" w14:textId="77777777" w:rsidR="008D0DE5" w:rsidRPr="00DB7230" w:rsidRDefault="008D0DE5">
      <w:pPr>
        <w:widowControl w:val="0"/>
        <w:tabs>
          <w:tab w:val="left" w:pos="-720"/>
        </w:tabs>
        <w:jc w:val="center"/>
        <w:rPr>
          <w:rFonts w:ascii="Arial" w:hAnsi="Arial" w:cs="Arial"/>
          <w:b/>
          <w:sz w:val="22"/>
          <w:szCs w:val="22"/>
        </w:rPr>
      </w:pPr>
    </w:p>
    <w:tbl>
      <w:tblPr>
        <w:tblW w:w="14620"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2470"/>
        <w:gridCol w:w="12150"/>
      </w:tblGrid>
      <w:tr w:rsidR="008D0DE5" w:rsidRPr="00DB7230" w14:paraId="0A49F0CE" w14:textId="77777777" w:rsidTr="6C4217BD">
        <w:trPr>
          <w:jc w:val="center"/>
        </w:trPr>
        <w:tc>
          <w:tcPr>
            <w:tcW w:w="2470" w:type="dxa"/>
          </w:tcPr>
          <w:p w14:paraId="000000A7" w14:textId="19D880A9" w:rsidR="008D0DE5" w:rsidRPr="00DB7230" w:rsidRDefault="00C5140E">
            <w:pPr>
              <w:tabs>
                <w:tab w:val="left" w:pos="-720"/>
              </w:tabs>
              <w:spacing w:before="96" w:after="96"/>
              <w:rPr>
                <w:rFonts w:ascii="Arial" w:hAnsi="Arial" w:cs="Arial"/>
                <w:b/>
                <w:sz w:val="22"/>
                <w:szCs w:val="22"/>
              </w:rPr>
            </w:pPr>
            <w:r w:rsidRPr="00DB7230">
              <w:rPr>
                <w:rFonts w:ascii="Arial" w:hAnsi="Arial" w:cs="Arial"/>
                <w:b/>
                <w:sz w:val="22"/>
                <w:szCs w:val="22"/>
              </w:rPr>
              <w:t>“</w:t>
            </w:r>
            <w:r w:rsidR="00C42A31" w:rsidRPr="00DB7230">
              <w:rPr>
                <w:rFonts w:ascii="Arial" w:hAnsi="Arial" w:cs="Arial"/>
                <w:b/>
                <w:sz w:val="22"/>
                <w:szCs w:val="22"/>
              </w:rPr>
              <w:t>Affiliate</w:t>
            </w:r>
            <w:r w:rsidRPr="00DB7230">
              <w:rPr>
                <w:rFonts w:ascii="Arial" w:hAnsi="Arial" w:cs="Arial"/>
                <w:b/>
                <w:sz w:val="22"/>
                <w:szCs w:val="22"/>
              </w:rPr>
              <w:t>”</w:t>
            </w:r>
          </w:p>
        </w:tc>
        <w:tc>
          <w:tcPr>
            <w:tcW w:w="12150" w:type="dxa"/>
          </w:tcPr>
          <w:p w14:paraId="000000A8" w14:textId="3D7E1864" w:rsidR="008D0DE5" w:rsidRPr="00DB7230" w:rsidRDefault="00C42A31" w:rsidP="00F04CF4">
            <w:pPr>
              <w:tabs>
                <w:tab w:val="left" w:pos="-720"/>
              </w:tabs>
              <w:spacing w:after="96"/>
              <w:rPr>
                <w:rFonts w:ascii="Arial" w:hAnsi="Arial" w:cs="Arial"/>
                <w:sz w:val="22"/>
                <w:szCs w:val="22"/>
              </w:rPr>
            </w:pPr>
            <w:r w:rsidRPr="00DB7230">
              <w:rPr>
                <w:rFonts w:ascii="Arial" w:hAnsi="Arial" w:cs="Arial"/>
                <w:sz w:val="22"/>
                <w:szCs w:val="22"/>
              </w:rPr>
              <w:t xml:space="preserve">means any </w:t>
            </w:r>
            <w:r w:rsidR="00EB6195">
              <w:rPr>
                <w:rFonts w:ascii="Arial" w:hAnsi="Arial" w:cs="Arial"/>
                <w:sz w:val="22"/>
                <w:szCs w:val="22"/>
              </w:rPr>
              <w:t>Person</w:t>
            </w:r>
            <w:r w:rsidRPr="00DB7230">
              <w:rPr>
                <w:rFonts w:ascii="Arial" w:hAnsi="Arial" w:cs="Arial"/>
                <w:sz w:val="22"/>
                <w:szCs w:val="22"/>
              </w:rPr>
              <w:t xml:space="preserve"> which, directly or indirectly, </w:t>
            </w:r>
            <w:proofErr w:type="gramStart"/>
            <w:r w:rsidRPr="00DB7230">
              <w:rPr>
                <w:rFonts w:ascii="Arial" w:hAnsi="Arial" w:cs="Arial"/>
                <w:sz w:val="22"/>
                <w:szCs w:val="22"/>
              </w:rPr>
              <w:t>Controls</w:t>
            </w:r>
            <w:proofErr w:type="gramEnd"/>
            <w:r w:rsidRPr="00DB7230">
              <w:rPr>
                <w:rFonts w:ascii="Arial" w:hAnsi="Arial" w:cs="Arial"/>
                <w:sz w:val="22"/>
                <w:szCs w:val="22"/>
              </w:rPr>
              <w:t xml:space="preserve"> </w:t>
            </w:r>
            <w:r w:rsidR="00EB6195">
              <w:rPr>
                <w:rFonts w:ascii="Arial" w:hAnsi="Arial" w:cs="Arial"/>
                <w:sz w:val="22"/>
                <w:szCs w:val="22"/>
              </w:rPr>
              <w:t>another Person</w:t>
            </w:r>
            <w:r w:rsidRPr="00DB7230">
              <w:rPr>
                <w:rFonts w:ascii="Arial" w:hAnsi="Arial" w:cs="Arial"/>
                <w:sz w:val="22"/>
                <w:szCs w:val="22"/>
              </w:rPr>
              <w:t xml:space="preserve">, is Controlled by </w:t>
            </w:r>
            <w:r w:rsidR="00EB6195">
              <w:rPr>
                <w:rFonts w:ascii="Arial" w:hAnsi="Arial" w:cs="Arial"/>
                <w:sz w:val="22"/>
                <w:szCs w:val="22"/>
              </w:rPr>
              <w:t>another Person</w:t>
            </w:r>
            <w:r w:rsidRPr="00DB7230">
              <w:rPr>
                <w:rFonts w:ascii="Arial" w:hAnsi="Arial" w:cs="Arial"/>
                <w:sz w:val="22"/>
                <w:szCs w:val="22"/>
              </w:rPr>
              <w:t xml:space="preserve">, or is under common Control with </w:t>
            </w:r>
            <w:r w:rsidR="00EB6195">
              <w:rPr>
                <w:rFonts w:ascii="Arial" w:hAnsi="Arial" w:cs="Arial"/>
                <w:sz w:val="22"/>
                <w:szCs w:val="22"/>
              </w:rPr>
              <w:t>another Person</w:t>
            </w:r>
            <w:r w:rsidRPr="00DB7230">
              <w:rPr>
                <w:rFonts w:ascii="Arial" w:hAnsi="Arial" w:cs="Arial"/>
                <w:sz w:val="22"/>
                <w:szCs w:val="22"/>
              </w:rPr>
              <w:t>.  “</w:t>
            </w:r>
            <w:r w:rsidRPr="00DB7230">
              <w:rPr>
                <w:rFonts w:ascii="Arial" w:hAnsi="Arial" w:cs="Arial"/>
                <w:b/>
                <w:sz w:val="22"/>
                <w:szCs w:val="22"/>
              </w:rPr>
              <w:t>Control</w:t>
            </w:r>
            <w:r w:rsidRPr="00DB7230">
              <w:rPr>
                <w:rFonts w:ascii="Arial" w:hAnsi="Arial" w:cs="Arial"/>
                <w:sz w:val="22"/>
                <w:szCs w:val="22"/>
              </w:rPr>
              <w:t xml:space="preserve">” means having the actual present capacity to elect a majority of the directors, or the power to direct greater than 50% of the voting rights entitled to elect directors of such </w:t>
            </w:r>
            <w:r w:rsidR="00EB6195">
              <w:rPr>
                <w:rFonts w:ascii="Arial" w:hAnsi="Arial" w:cs="Arial"/>
                <w:sz w:val="22"/>
                <w:szCs w:val="22"/>
              </w:rPr>
              <w:t>Person</w:t>
            </w:r>
            <w:r w:rsidRPr="00DB7230">
              <w:rPr>
                <w:rFonts w:ascii="Arial" w:hAnsi="Arial" w:cs="Arial"/>
                <w:sz w:val="22"/>
                <w:szCs w:val="22"/>
              </w:rPr>
              <w:t>; provided</w:t>
            </w:r>
            <w:r w:rsidRPr="00DB7230">
              <w:rPr>
                <w:rFonts w:ascii="Arial" w:hAnsi="Arial" w:cs="Arial"/>
                <w:iCs/>
                <w:sz w:val="22"/>
                <w:szCs w:val="22"/>
              </w:rPr>
              <w:t xml:space="preserve">, </w:t>
            </w:r>
            <w:r w:rsidRPr="00DB7230">
              <w:rPr>
                <w:rFonts w:ascii="Arial" w:hAnsi="Arial" w:cs="Arial"/>
                <w:sz w:val="22"/>
                <w:szCs w:val="22"/>
              </w:rPr>
              <w:t>however</w:t>
            </w:r>
            <w:r w:rsidRPr="00DB7230">
              <w:rPr>
                <w:rFonts w:ascii="Arial" w:hAnsi="Arial" w:cs="Arial"/>
                <w:iCs/>
                <w:sz w:val="22"/>
                <w:szCs w:val="22"/>
              </w:rPr>
              <w:t>,</w:t>
            </w:r>
            <w:r w:rsidRPr="00DB7230">
              <w:rPr>
                <w:rFonts w:ascii="Arial" w:hAnsi="Arial" w:cs="Arial"/>
                <w:sz w:val="22"/>
                <w:szCs w:val="22"/>
              </w:rPr>
              <w:t xml:space="preserve"> that with respect to any </w:t>
            </w:r>
            <w:r w:rsidR="00EB6195">
              <w:rPr>
                <w:rFonts w:ascii="Arial" w:hAnsi="Arial" w:cs="Arial"/>
                <w:sz w:val="22"/>
                <w:szCs w:val="22"/>
              </w:rPr>
              <w:t>Person</w:t>
            </w:r>
            <w:r w:rsidRPr="00DB7230">
              <w:rPr>
                <w:rFonts w:ascii="Arial" w:hAnsi="Arial" w:cs="Arial"/>
                <w:sz w:val="22"/>
                <w:szCs w:val="22"/>
              </w:rPr>
              <w:t xml:space="preserve"> in a country where the local law will not permit majority foreign equity participation, control means the ownership or control (directly or indirectly) of the maximum percentage of such outstanding stock or voting rights permitted by local law.  A</w:t>
            </w:r>
            <w:r w:rsidR="00EB6195">
              <w:rPr>
                <w:rFonts w:ascii="Arial" w:hAnsi="Arial" w:cs="Arial"/>
                <w:sz w:val="22"/>
                <w:szCs w:val="22"/>
              </w:rPr>
              <w:t xml:space="preserve"> Person</w:t>
            </w:r>
            <w:r w:rsidRPr="00DB7230">
              <w:rPr>
                <w:rFonts w:ascii="Arial" w:hAnsi="Arial" w:cs="Arial"/>
                <w:sz w:val="22"/>
                <w:szCs w:val="22"/>
              </w:rPr>
              <w:t xml:space="preserve"> will be deemed an Affiliate of Licensee solely for the term during which it satisfies the foregoing definition.  [VC and its affiliated funds and their respective portfolio companies will not be deemed Affiliates.]</w:t>
            </w:r>
            <w:r w:rsidRPr="00DB7230">
              <w:rPr>
                <w:rFonts w:ascii="Arial" w:hAnsi="Arial" w:cs="Arial"/>
                <w:sz w:val="22"/>
                <w:szCs w:val="22"/>
                <w:vertAlign w:val="superscript"/>
              </w:rPr>
              <w:footnoteReference w:id="41"/>
            </w:r>
          </w:p>
        </w:tc>
      </w:tr>
      <w:tr w:rsidR="008D0DE5" w:rsidRPr="00DB7230" w14:paraId="51A7C0F6" w14:textId="77777777" w:rsidTr="00F04CF4">
        <w:trPr>
          <w:trHeight w:val="151"/>
          <w:jc w:val="center"/>
        </w:trPr>
        <w:tc>
          <w:tcPr>
            <w:tcW w:w="2470" w:type="dxa"/>
          </w:tcPr>
          <w:p w14:paraId="000000A9" w14:textId="637948E9" w:rsidR="008D0DE5" w:rsidRPr="00DB7230" w:rsidRDefault="00C5140E">
            <w:pPr>
              <w:tabs>
                <w:tab w:val="left" w:pos="-720"/>
              </w:tabs>
              <w:spacing w:before="96" w:after="96"/>
              <w:rPr>
                <w:rFonts w:ascii="Arial" w:hAnsi="Arial" w:cs="Arial"/>
                <w:b/>
                <w:sz w:val="22"/>
                <w:szCs w:val="22"/>
              </w:rPr>
            </w:pPr>
            <w:r w:rsidRPr="00DB7230">
              <w:rPr>
                <w:rFonts w:ascii="Arial" w:hAnsi="Arial" w:cs="Arial"/>
                <w:b/>
                <w:sz w:val="22"/>
                <w:szCs w:val="22"/>
              </w:rPr>
              <w:t>“</w:t>
            </w:r>
            <w:r w:rsidR="00C42A31" w:rsidRPr="00DB7230">
              <w:rPr>
                <w:rFonts w:ascii="Arial" w:hAnsi="Arial" w:cs="Arial"/>
                <w:b/>
                <w:sz w:val="22"/>
                <w:szCs w:val="22"/>
              </w:rPr>
              <w:t>A</w:t>
            </w:r>
            <w:r w:rsidR="00A005D5" w:rsidRPr="00DB7230">
              <w:rPr>
                <w:rFonts w:ascii="Arial" w:hAnsi="Arial" w:cs="Arial"/>
                <w:b/>
                <w:sz w:val="22"/>
                <w:szCs w:val="22"/>
              </w:rPr>
              <w:t>ctive Ingredient</w:t>
            </w:r>
            <w:r w:rsidRPr="00DB7230">
              <w:rPr>
                <w:rFonts w:ascii="Arial" w:hAnsi="Arial" w:cs="Arial"/>
                <w:b/>
                <w:sz w:val="22"/>
                <w:szCs w:val="22"/>
              </w:rPr>
              <w:t>”</w:t>
            </w:r>
          </w:p>
        </w:tc>
        <w:tc>
          <w:tcPr>
            <w:tcW w:w="12150" w:type="dxa"/>
          </w:tcPr>
          <w:p w14:paraId="000000AA" w14:textId="4A813828" w:rsidR="008D0DE5" w:rsidRPr="00DB7230" w:rsidRDefault="00C42A31" w:rsidP="00F04CF4">
            <w:pPr>
              <w:tabs>
                <w:tab w:val="left" w:pos="-720"/>
              </w:tabs>
              <w:rPr>
                <w:rFonts w:ascii="Arial" w:hAnsi="Arial" w:cs="Arial"/>
                <w:sz w:val="22"/>
                <w:szCs w:val="22"/>
              </w:rPr>
            </w:pPr>
            <w:r w:rsidRPr="00DB7230">
              <w:rPr>
                <w:rFonts w:ascii="Arial" w:hAnsi="Arial" w:cs="Arial"/>
                <w:sz w:val="22"/>
                <w:szCs w:val="22"/>
              </w:rPr>
              <w:t>means an active ingredient as defined in 21 CFR 210.3(b)(7).</w:t>
            </w:r>
          </w:p>
        </w:tc>
      </w:tr>
      <w:tr w:rsidR="003D658B" w:rsidRPr="00DB7230" w14:paraId="41ACBCFF" w14:textId="77777777" w:rsidTr="6C4217BD">
        <w:trPr>
          <w:jc w:val="center"/>
        </w:trPr>
        <w:tc>
          <w:tcPr>
            <w:tcW w:w="2470" w:type="dxa"/>
          </w:tcPr>
          <w:p w14:paraId="30310761" w14:textId="5A5436F6" w:rsidR="003D658B" w:rsidRPr="00DB7230" w:rsidRDefault="00C5140E">
            <w:pPr>
              <w:tabs>
                <w:tab w:val="left" w:pos="-720"/>
              </w:tabs>
              <w:spacing w:before="96" w:after="96"/>
              <w:rPr>
                <w:rFonts w:ascii="Arial" w:hAnsi="Arial" w:cs="Arial"/>
                <w:b/>
                <w:sz w:val="22"/>
                <w:szCs w:val="22"/>
              </w:rPr>
            </w:pPr>
            <w:r w:rsidRPr="00DB7230">
              <w:rPr>
                <w:rFonts w:ascii="Arial" w:hAnsi="Arial" w:cs="Arial"/>
                <w:b/>
                <w:sz w:val="22"/>
                <w:szCs w:val="22"/>
              </w:rPr>
              <w:t>“</w:t>
            </w:r>
            <w:r w:rsidR="003D658B" w:rsidRPr="00DB7230">
              <w:rPr>
                <w:rFonts w:ascii="Arial" w:hAnsi="Arial" w:cs="Arial"/>
                <w:b/>
                <w:sz w:val="22"/>
                <w:szCs w:val="22"/>
              </w:rPr>
              <w:t>Change of Control</w:t>
            </w:r>
            <w:r w:rsidRPr="00DB7230">
              <w:rPr>
                <w:rFonts w:ascii="Arial" w:hAnsi="Arial" w:cs="Arial"/>
                <w:b/>
                <w:sz w:val="22"/>
                <w:szCs w:val="22"/>
              </w:rPr>
              <w:t>”</w:t>
            </w:r>
          </w:p>
        </w:tc>
        <w:tc>
          <w:tcPr>
            <w:tcW w:w="12150" w:type="dxa"/>
          </w:tcPr>
          <w:p w14:paraId="63F4CEC1" w14:textId="297A85C7" w:rsidR="003D658B" w:rsidRPr="00DB7230" w:rsidRDefault="00C5140E" w:rsidP="00F04CF4">
            <w:pPr>
              <w:rPr>
                <w:rFonts w:ascii="Arial" w:hAnsi="Arial" w:cs="Arial"/>
                <w:sz w:val="22"/>
                <w:szCs w:val="22"/>
              </w:rPr>
            </w:pPr>
            <w:r w:rsidRPr="00DB7230">
              <w:rPr>
                <w:rFonts w:ascii="Arial" w:hAnsi="Arial" w:cs="Arial"/>
                <w:color w:val="000000"/>
                <w:sz w:val="22"/>
                <w:szCs w:val="22"/>
              </w:rPr>
              <w:t xml:space="preserve">means (i) a consolidation or merger of the Licensee with or into any other </w:t>
            </w:r>
            <w:r w:rsidR="00EB6195">
              <w:rPr>
                <w:rFonts w:ascii="Arial" w:hAnsi="Arial" w:cs="Arial"/>
                <w:color w:val="000000"/>
                <w:sz w:val="22"/>
                <w:szCs w:val="22"/>
              </w:rPr>
              <w:t>Person</w:t>
            </w:r>
            <w:r w:rsidRPr="00DB7230">
              <w:rPr>
                <w:rFonts w:ascii="Arial" w:hAnsi="Arial" w:cs="Arial"/>
                <w:color w:val="000000"/>
                <w:sz w:val="22"/>
                <w:szCs w:val="22"/>
              </w:rPr>
              <w:t xml:space="preserve">, or any other corporate reorganization, other than any such consolidation, merger or reorganization in which the shares of capital stock of the Licensee immediately prior to such consolidation, merger or reorganization continue to represent a majority of the voting power of the surviving entity immediately after such consolidation, merger or reorganization; (ii) any transaction or series of related transactions to which the Licensee is a party in which in excess of 50% of the Licensee’s voting power is transferred; or (iii) the sale or transfer of </w:t>
            </w:r>
            <w:r w:rsidR="00226C5F">
              <w:rPr>
                <w:rFonts w:ascii="Arial" w:hAnsi="Arial" w:cs="Arial"/>
                <w:color w:val="000000"/>
                <w:sz w:val="22"/>
                <w:szCs w:val="22"/>
              </w:rPr>
              <w:t xml:space="preserve">Licensee’s business in its entirety, or </w:t>
            </w:r>
            <w:r w:rsidRPr="00DB7230">
              <w:rPr>
                <w:rFonts w:ascii="Arial" w:hAnsi="Arial" w:cs="Arial"/>
                <w:color w:val="000000"/>
                <w:sz w:val="22"/>
                <w:szCs w:val="22"/>
              </w:rPr>
              <w:t>all or substantially all of the Licensee’s assets</w:t>
            </w:r>
            <w:r w:rsidR="00226C5F">
              <w:rPr>
                <w:rFonts w:ascii="Arial" w:hAnsi="Arial" w:cs="Arial"/>
                <w:color w:val="000000"/>
                <w:sz w:val="22"/>
                <w:szCs w:val="22"/>
              </w:rPr>
              <w:t xml:space="preserve"> to which the Agreement pertains</w:t>
            </w:r>
            <w:r w:rsidRPr="00DB7230">
              <w:rPr>
                <w:rFonts w:ascii="Arial" w:hAnsi="Arial" w:cs="Arial"/>
                <w:color w:val="000000"/>
                <w:sz w:val="22"/>
                <w:szCs w:val="22"/>
              </w:rPr>
              <w:t>, or the exclusive license of all or substantially all of the Licensee’s material intellectual property; provided that a Change of Control shall not include any transaction or series of transactions principally for bona fide equity financing purposes in which cash is received by the Licensee or any successor, indebtedness of the Licensee is cancelled or converted</w:t>
            </w:r>
            <w:r w:rsidR="00A005D5" w:rsidRPr="00DB7230">
              <w:rPr>
                <w:rFonts w:ascii="Arial" w:hAnsi="Arial" w:cs="Arial"/>
                <w:color w:val="000000"/>
                <w:sz w:val="22"/>
                <w:szCs w:val="22"/>
              </w:rPr>
              <w:t xml:space="preserve">, </w:t>
            </w:r>
            <w:r w:rsidRPr="00DB7230">
              <w:rPr>
                <w:rFonts w:ascii="Arial" w:hAnsi="Arial" w:cs="Arial"/>
                <w:color w:val="000000"/>
                <w:sz w:val="22"/>
                <w:szCs w:val="22"/>
              </w:rPr>
              <w:t>or a combination thereof. </w:t>
            </w:r>
          </w:p>
        </w:tc>
      </w:tr>
      <w:tr w:rsidR="008D0DE5" w:rsidRPr="00DB7230" w14:paraId="2BA28B10" w14:textId="77777777" w:rsidTr="6C4217BD">
        <w:trPr>
          <w:jc w:val="center"/>
        </w:trPr>
        <w:tc>
          <w:tcPr>
            <w:tcW w:w="2470" w:type="dxa"/>
          </w:tcPr>
          <w:p w14:paraId="000000AB" w14:textId="36F17DAB" w:rsidR="008D0DE5" w:rsidRPr="00DB7230" w:rsidRDefault="00C5140E">
            <w:pPr>
              <w:tabs>
                <w:tab w:val="left" w:pos="-720"/>
              </w:tabs>
              <w:spacing w:before="96" w:after="96"/>
              <w:rPr>
                <w:rFonts w:ascii="Arial" w:hAnsi="Arial" w:cs="Arial"/>
                <w:b/>
                <w:sz w:val="22"/>
                <w:szCs w:val="22"/>
              </w:rPr>
            </w:pPr>
            <w:r w:rsidRPr="00DB7230">
              <w:rPr>
                <w:rFonts w:ascii="Arial" w:hAnsi="Arial" w:cs="Arial"/>
                <w:b/>
                <w:sz w:val="22"/>
                <w:szCs w:val="22"/>
              </w:rPr>
              <w:t>“</w:t>
            </w:r>
            <w:r w:rsidR="00C42A31" w:rsidRPr="00DB7230">
              <w:rPr>
                <w:rFonts w:ascii="Arial" w:hAnsi="Arial" w:cs="Arial"/>
                <w:b/>
                <w:sz w:val="22"/>
                <w:szCs w:val="22"/>
              </w:rPr>
              <w:t>Combination Product</w:t>
            </w:r>
            <w:r w:rsidRPr="00DB7230">
              <w:rPr>
                <w:rFonts w:ascii="Arial" w:hAnsi="Arial" w:cs="Arial"/>
                <w:b/>
                <w:sz w:val="22"/>
                <w:szCs w:val="22"/>
              </w:rPr>
              <w:t>”</w:t>
            </w:r>
          </w:p>
        </w:tc>
        <w:tc>
          <w:tcPr>
            <w:tcW w:w="12150" w:type="dxa"/>
          </w:tcPr>
          <w:p w14:paraId="000000AC" w14:textId="71C615D0" w:rsidR="008D0DE5" w:rsidRPr="00DB7230" w:rsidRDefault="00333B93" w:rsidP="0062071D">
            <w:pPr>
              <w:tabs>
                <w:tab w:val="left" w:pos="-720"/>
              </w:tabs>
              <w:spacing w:after="96"/>
              <w:rPr>
                <w:rFonts w:ascii="Arial" w:hAnsi="Arial" w:cs="Arial"/>
                <w:sz w:val="22"/>
                <w:szCs w:val="22"/>
              </w:rPr>
            </w:pPr>
            <w:r w:rsidRPr="00DB7230">
              <w:rPr>
                <w:rFonts w:ascii="Arial" w:hAnsi="Arial" w:cs="Arial"/>
                <w:sz w:val="22"/>
                <w:szCs w:val="22"/>
              </w:rPr>
              <w:t xml:space="preserve">means </w:t>
            </w:r>
            <w:r w:rsidR="00C42A31" w:rsidRPr="00DB7230">
              <w:rPr>
                <w:rFonts w:ascii="Arial" w:hAnsi="Arial" w:cs="Arial"/>
                <w:sz w:val="22"/>
                <w:szCs w:val="22"/>
              </w:rPr>
              <w:t>a combination of (a) a Licensed Product and (b) Other Components, where such combinations of (a) and (b) are co-formulated, co-packaged or sold under one pricing scheme (whether payment of such price is paid to the same or to more than one seller).</w:t>
            </w:r>
            <w:r w:rsidR="00C42A31" w:rsidRPr="00DB7230">
              <w:rPr>
                <w:rFonts w:ascii="Arial" w:hAnsi="Arial" w:cs="Arial"/>
                <w:color w:val="333333"/>
                <w:sz w:val="22"/>
                <w:szCs w:val="22"/>
              </w:rPr>
              <w:t xml:space="preserve"> </w:t>
            </w:r>
          </w:p>
        </w:tc>
      </w:tr>
      <w:tr w:rsidR="00FD06FF" w:rsidRPr="00DB7230" w14:paraId="5DE7DB05" w14:textId="77777777" w:rsidTr="6C4217BD">
        <w:trPr>
          <w:jc w:val="center"/>
        </w:trPr>
        <w:tc>
          <w:tcPr>
            <w:tcW w:w="2470" w:type="dxa"/>
          </w:tcPr>
          <w:p w14:paraId="1A40EEC5" w14:textId="78998C3C" w:rsidR="00FD06FF" w:rsidRPr="00DB7230" w:rsidRDefault="00C5140E">
            <w:pPr>
              <w:tabs>
                <w:tab w:val="left" w:pos="-720"/>
              </w:tabs>
              <w:spacing w:before="96" w:after="96"/>
              <w:rPr>
                <w:rFonts w:ascii="Arial" w:hAnsi="Arial" w:cs="Arial"/>
                <w:b/>
                <w:sz w:val="22"/>
                <w:szCs w:val="22"/>
              </w:rPr>
            </w:pPr>
            <w:r w:rsidRPr="00DB7230">
              <w:rPr>
                <w:rFonts w:ascii="Arial" w:hAnsi="Arial" w:cs="Arial"/>
                <w:b/>
                <w:sz w:val="22"/>
                <w:szCs w:val="22"/>
              </w:rPr>
              <w:t>“</w:t>
            </w:r>
            <w:r w:rsidR="002E77C0" w:rsidRPr="00DB7230">
              <w:rPr>
                <w:rFonts w:ascii="Arial" w:hAnsi="Arial" w:cs="Arial"/>
                <w:b/>
                <w:sz w:val="22"/>
                <w:szCs w:val="22"/>
              </w:rPr>
              <w:t>Commercially Reasonable Efforts</w:t>
            </w:r>
            <w:r w:rsidRPr="00DB7230">
              <w:rPr>
                <w:rFonts w:ascii="Arial" w:hAnsi="Arial" w:cs="Arial"/>
                <w:b/>
                <w:sz w:val="22"/>
                <w:szCs w:val="22"/>
              </w:rPr>
              <w:t>”</w:t>
            </w:r>
          </w:p>
        </w:tc>
        <w:tc>
          <w:tcPr>
            <w:tcW w:w="12150" w:type="dxa"/>
          </w:tcPr>
          <w:p w14:paraId="4814B81C" w14:textId="7849BECC" w:rsidR="00FD06FF" w:rsidRPr="00DB7230" w:rsidRDefault="150EBF48" w:rsidP="00F04CF4">
            <w:pPr>
              <w:spacing w:after="96"/>
              <w:rPr>
                <w:rFonts w:ascii="Arial" w:hAnsi="Arial" w:cs="Arial"/>
                <w:sz w:val="22"/>
                <w:szCs w:val="22"/>
              </w:rPr>
            </w:pPr>
            <w:r w:rsidRPr="00DB7230">
              <w:rPr>
                <w:rFonts w:ascii="Arial" w:hAnsi="Arial" w:cs="Arial"/>
                <w:sz w:val="22"/>
                <w:szCs w:val="22"/>
              </w:rPr>
              <w:t xml:space="preserve">means, with respect to Licensee’s obligations as to a Licensed Product, the carrying out of such obligations with a level of efforts and resources consistent with those typically expended by a similarly situated company in the applicable industry for the research, development and/or commercialization of a similarly situated therapeutic [or diagnostic product] at a </w:t>
            </w:r>
            <w:r w:rsidRPr="00DB7230">
              <w:rPr>
                <w:rFonts w:ascii="Arial" w:hAnsi="Arial" w:cs="Arial"/>
                <w:sz w:val="22"/>
                <w:szCs w:val="22"/>
              </w:rPr>
              <w:lastRenderedPageBreak/>
              <w:t>similar stage of development and/or commercialization as such Licensed Product, taking into account the anticipated value of the commercial opportunity, the prevailing regulatory environment (including the likelihood of receiving regulatory approval, and regulatory or data exclusivity), the proprietary position of the Licensed Product, the expected and actual competitiveness of alternative third party products in the marketplace, and other relevant scientific, technical, and commercial factors.</w:t>
            </w:r>
          </w:p>
        </w:tc>
      </w:tr>
      <w:tr w:rsidR="008D0DE5" w:rsidRPr="00DB7230" w14:paraId="15BDBBA8" w14:textId="77777777" w:rsidTr="6C4217BD">
        <w:trPr>
          <w:jc w:val="center"/>
        </w:trPr>
        <w:tc>
          <w:tcPr>
            <w:tcW w:w="2470" w:type="dxa"/>
          </w:tcPr>
          <w:p w14:paraId="000000AD" w14:textId="4F150502" w:rsidR="008D0DE5" w:rsidRPr="00DB7230" w:rsidRDefault="00C5140E">
            <w:pPr>
              <w:tabs>
                <w:tab w:val="left" w:pos="-720"/>
              </w:tabs>
              <w:spacing w:before="96" w:after="96"/>
              <w:rPr>
                <w:rFonts w:ascii="Arial" w:hAnsi="Arial" w:cs="Arial"/>
                <w:b/>
                <w:sz w:val="22"/>
                <w:szCs w:val="22"/>
                <w:highlight w:val="yellow"/>
              </w:rPr>
            </w:pPr>
            <w:r w:rsidRPr="00DB7230">
              <w:rPr>
                <w:rFonts w:ascii="Arial" w:hAnsi="Arial" w:cs="Arial"/>
                <w:b/>
                <w:sz w:val="22"/>
                <w:szCs w:val="22"/>
              </w:rPr>
              <w:lastRenderedPageBreak/>
              <w:t>“</w:t>
            </w:r>
            <w:r w:rsidR="00C42A31" w:rsidRPr="00DB7230">
              <w:rPr>
                <w:rFonts w:ascii="Arial" w:hAnsi="Arial" w:cs="Arial"/>
                <w:b/>
                <w:sz w:val="22"/>
                <w:szCs w:val="22"/>
              </w:rPr>
              <w:t>Cover</w:t>
            </w:r>
            <w:r w:rsidRPr="00DB7230">
              <w:rPr>
                <w:rFonts w:ascii="Arial" w:hAnsi="Arial" w:cs="Arial"/>
                <w:b/>
                <w:sz w:val="22"/>
                <w:szCs w:val="22"/>
              </w:rPr>
              <w:t>”</w:t>
            </w:r>
            <w:r w:rsidR="00C42A31" w:rsidRPr="00DB7230">
              <w:rPr>
                <w:rFonts w:ascii="Arial" w:hAnsi="Arial" w:cs="Arial"/>
                <w:b/>
                <w:sz w:val="22"/>
                <w:szCs w:val="22"/>
              </w:rPr>
              <w:t xml:space="preserve"> or </w:t>
            </w:r>
            <w:r w:rsidRPr="00DB7230">
              <w:rPr>
                <w:rFonts w:ascii="Arial" w:hAnsi="Arial" w:cs="Arial"/>
                <w:b/>
                <w:sz w:val="22"/>
                <w:szCs w:val="22"/>
              </w:rPr>
              <w:t>“</w:t>
            </w:r>
            <w:r w:rsidR="00C42A31" w:rsidRPr="00DB7230">
              <w:rPr>
                <w:rFonts w:ascii="Arial" w:hAnsi="Arial" w:cs="Arial"/>
                <w:b/>
                <w:sz w:val="22"/>
                <w:szCs w:val="22"/>
              </w:rPr>
              <w:t>Covered By</w:t>
            </w:r>
            <w:r w:rsidRPr="00DB7230">
              <w:rPr>
                <w:rFonts w:ascii="Arial" w:hAnsi="Arial" w:cs="Arial"/>
                <w:b/>
                <w:sz w:val="22"/>
                <w:szCs w:val="22"/>
              </w:rPr>
              <w:t>”</w:t>
            </w:r>
          </w:p>
        </w:tc>
        <w:tc>
          <w:tcPr>
            <w:tcW w:w="12150" w:type="dxa"/>
          </w:tcPr>
          <w:p w14:paraId="000000AE" w14:textId="77777777" w:rsidR="008D0DE5" w:rsidRPr="00DB7230" w:rsidRDefault="00C42A31">
            <w:pPr>
              <w:tabs>
                <w:tab w:val="left" w:pos="-720"/>
              </w:tabs>
              <w:rPr>
                <w:rFonts w:ascii="Arial" w:hAnsi="Arial" w:cs="Arial"/>
                <w:sz w:val="22"/>
                <w:szCs w:val="22"/>
              </w:rPr>
            </w:pPr>
            <w:r w:rsidRPr="00DB7230">
              <w:rPr>
                <w:rFonts w:ascii="Arial" w:hAnsi="Arial" w:cs="Arial"/>
                <w:sz w:val="22"/>
                <w:szCs w:val="22"/>
              </w:rPr>
              <w:t>(</w:t>
            </w:r>
            <w:r w:rsidRPr="00DB7230">
              <w:rPr>
                <w:rFonts w:ascii="Arial" w:hAnsi="Arial" w:cs="Arial"/>
                <w:i/>
                <w:sz w:val="22"/>
                <w:szCs w:val="22"/>
              </w:rPr>
              <w:t>For a Patent-only license:</w:t>
            </w:r>
            <w:r w:rsidRPr="00DB7230">
              <w:rPr>
                <w:rFonts w:ascii="Arial" w:hAnsi="Arial" w:cs="Arial"/>
                <w:sz w:val="22"/>
                <w:szCs w:val="22"/>
              </w:rPr>
              <w:t>)</w:t>
            </w:r>
          </w:p>
          <w:p w14:paraId="000000AF" w14:textId="5C6AF33D" w:rsidR="008D0DE5" w:rsidRPr="00DB7230" w:rsidRDefault="00C42A31">
            <w:pPr>
              <w:tabs>
                <w:tab w:val="left" w:pos="-720"/>
              </w:tabs>
              <w:rPr>
                <w:rFonts w:ascii="Arial" w:hAnsi="Arial" w:cs="Arial"/>
                <w:sz w:val="22"/>
                <w:szCs w:val="22"/>
              </w:rPr>
            </w:pPr>
            <w:r w:rsidRPr="00DB7230">
              <w:rPr>
                <w:rFonts w:ascii="Arial" w:hAnsi="Arial" w:cs="Arial"/>
                <w:sz w:val="22"/>
                <w:szCs w:val="22"/>
              </w:rPr>
              <w:t xml:space="preserve">means the manufacture/making, use, marketing, sale, offer to sell, import, export, distribution, rent, end-use license or lease of a product, </w:t>
            </w:r>
            <w:proofErr w:type="gramStart"/>
            <w:r w:rsidRPr="00DB7230">
              <w:rPr>
                <w:rFonts w:ascii="Arial" w:hAnsi="Arial" w:cs="Arial"/>
                <w:sz w:val="22"/>
                <w:szCs w:val="22"/>
              </w:rPr>
              <w:t>method</w:t>
            </w:r>
            <w:proofErr w:type="gramEnd"/>
            <w:r w:rsidRPr="00DB7230">
              <w:rPr>
                <w:rFonts w:ascii="Arial" w:hAnsi="Arial" w:cs="Arial"/>
                <w:sz w:val="22"/>
                <w:szCs w:val="22"/>
              </w:rPr>
              <w:t xml:space="preserve"> or service,</w:t>
            </w:r>
            <w:r w:rsidR="00052B51" w:rsidRPr="00DB7230">
              <w:rPr>
                <w:rFonts w:ascii="Arial" w:hAnsi="Arial" w:cs="Arial"/>
                <w:sz w:val="22"/>
                <w:szCs w:val="22"/>
              </w:rPr>
              <w:t xml:space="preserve"> which absent the licenses to be granted in accordance with this term sheet, would</w:t>
            </w:r>
            <w:r w:rsidRPr="00DB7230">
              <w:rPr>
                <w:rFonts w:ascii="Arial" w:hAnsi="Arial" w:cs="Arial"/>
                <w:sz w:val="22"/>
                <w:szCs w:val="22"/>
              </w:rPr>
              <w:t xml:space="preserve"> infringe, or induce or contribute</w:t>
            </w:r>
            <w:r w:rsidR="00562D67" w:rsidRPr="00DB7230">
              <w:rPr>
                <w:rFonts w:ascii="Arial" w:hAnsi="Arial" w:cs="Arial"/>
                <w:sz w:val="22"/>
                <w:szCs w:val="22"/>
              </w:rPr>
              <w:t xml:space="preserve"> </w:t>
            </w:r>
            <w:r w:rsidRPr="00DB7230">
              <w:rPr>
                <w:rFonts w:ascii="Arial" w:hAnsi="Arial" w:cs="Arial"/>
                <w:sz w:val="22"/>
                <w:szCs w:val="22"/>
              </w:rPr>
              <w:t>to infringement of, a</w:t>
            </w:r>
            <w:r w:rsidR="00226C5F">
              <w:rPr>
                <w:rFonts w:ascii="Arial" w:hAnsi="Arial" w:cs="Arial"/>
                <w:sz w:val="22"/>
                <w:szCs w:val="22"/>
              </w:rPr>
              <w:t>ny Patent Rights</w:t>
            </w:r>
            <w:r w:rsidRPr="00DB7230">
              <w:rPr>
                <w:rFonts w:ascii="Arial" w:hAnsi="Arial" w:cs="Arial"/>
                <w:sz w:val="22"/>
                <w:szCs w:val="22"/>
              </w:rPr>
              <w:t xml:space="preserve">.  </w:t>
            </w:r>
          </w:p>
          <w:p w14:paraId="000000B0" w14:textId="77777777" w:rsidR="008D0DE5" w:rsidRPr="00DB7230" w:rsidRDefault="00C42A31">
            <w:pPr>
              <w:tabs>
                <w:tab w:val="left" w:pos="-720"/>
              </w:tabs>
              <w:rPr>
                <w:rFonts w:ascii="Arial" w:hAnsi="Arial" w:cs="Arial"/>
                <w:sz w:val="22"/>
                <w:szCs w:val="22"/>
              </w:rPr>
            </w:pPr>
            <w:r w:rsidRPr="00DB7230">
              <w:rPr>
                <w:rFonts w:ascii="Arial" w:hAnsi="Arial" w:cs="Arial"/>
                <w:sz w:val="22"/>
                <w:szCs w:val="22"/>
              </w:rPr>
              <w:t>(</w:t>
            </w:r>
            <w:r w:rsidRPr="00DB7230">
              <w:rPr>
                <w:rFonts w:ascii="Arial" w:hAnsi="Arial" w:cs="Arial"/>
                <w:i/>
                <w:sz w:val="22"/>
                <w:szCs w:val="22"/>
              </w:rPr>
              <w:t>For a Patent and Know-How License</w:t>
            </w:r>
            <w:r w:rsidRPr="00DB7230">
              <w:rPr>
                <w:rFonts w:ascii="Arial" w:hAnsi="Arial" w:cs="Arial"/>
                <w:sz w:val="22"/>
                <w:szCs w:val="22"/>
              </w:rPr>
              <w:t>):</w:t>
            </w:r>
          </w:p>
          <w:p w14:paraId="000000B1" w14:textId="0E026419" w:rsidR="008D0DE5" w:rsidRPr="00DB7230" w:rsidRDefault="00C42A31">
            <w:pPr>
              <w:tabs>
                <w:tab w:val="left" w:pos="-720"/>
              </w:tabs>
              <w:rPr>
                <w:rFonts w:ascii="Arial" w:hAnsi="Arial" w:cs="Arial"/>
                <w:sz w:val="22"/>
                <w:szCs w:val="22"/>
              </w:rPr>
            </w:pPr>
            <w:r w:rsidRPr="00DB7230">
              <w:rPr>
                <w:rFonts w:ascii="Arial" w:hAnsi="Arial" w:cs="Arial"/>
                <w:sz w:val="22"/>
                <w:szCs w:val="22"/>
              </w:rPr>
              <w:t xml:space="preserve">means the manufacture/making, use, marketing, sale, offer to sell, import, export, distribution, rent, end-use license or lease of a product, method or service (a) </w:t>
            </w:r>
            <w:r w:rsidR="00783666" w:rsidRPr="00DB7230">
              <w:rPr>
                <w:rFonts w:ascii="Arial" w:hAnsi="Arial" w:cs="Arial"/>
                <w:sz w:val="22"/>
                <w:szCs w:val="22"/>
              </w:rPr>
              <w:t xml:space="preserve">which absent the licenses to be granted in accordance with this term sheet, would </w:t>
            </w:r>
            <w:r w:rsidR="00783666" w:rsidRPr="00DB7230" w:rsidDel="00783666">
              <w:rPr>
                <w:rFonts w:ascii="Arial" w:hAnsi="Arial" w:cs="Arial"/>
                <w:sz w:val="22"/>
                <w:szCs w:val="22"/>
              </w:rPr>
              <w:t xml:space="preserve"> </w:t>
            </w:r>
            <w:r w:rsidRPr="00DB7230">
              <w:rPr>
                <w:rFonts w:ascii="Arial" w:hAnsi="Arial" w:cs="Arial"/>
                <w:sz w:val="22"/>
                <w:szCs w:val="22"/>
              </w:rPr>
              <w:t>infringe, or induce or contribute to infringement of, a</w:t>
            </w:r>
            <w:r w:rsidR="00226C5F">
              <w:rPr>
                <w:rFonts w:ascii="Arial" w:hAnsi="Arial" w:cs="Arial"/>
                <w:sz w:val="22"/>
                <w:szCs w:val="22"/>
              </w:rPr>
              <w:t>ny Patent Rights;</w:t>
            </w:r>
            <w:r w:rsidRPr="00DB7230">
              <w:rPr>
                <w:rFonts w:ascii="Arial" w:hAnsi="Arial" w:cs="Arial"/>
                <w:sz w:val="22"/>
                <w:szCs w:val="22"/>
              </w:rPr>
              <w:t xml:space="preserve"> and/or (b) </w:t>
            </w:r>
            <w:r w:rsidR="00783666" w:rsidRPr="00DB7230">
              <w:rPr>
                <w:rFonts w:ascii="Arial" w:hAnsi="Arial" w:cs="Arial"/>
                <w:sz w:val="22"/>
                <w:szCs w:val="22"/>
              </w:rPr>
              <w:t xml:space="preserve">that </w:t>
            </w:r>
            <w:r w:rsidRPr="00DB7230">
              <w:rPr>
                <w:rFonts w:ascii="Arial" w:hAnsi="Arial" w:cs="Arial"/>
                <w:sz w:val="22"/>
                <w:szCs w:val="22"/>
              </w:rPr>
              <w:t>uses, incorporates, or is discovered, developed or produced through the use of any Licensed Know-How.</w:t>
            </w:r>
            <w:r w:rsidR="00280054" w:rsidRPr="00DB7230">
              <w:rPr>
                <w:rFonts w:ascii="Arial" w:hAnsi="Arial" w:cs="Arial"/>
                <w:sz w:val="22"/>
                <w:szCs w:val="22"/>
              </w:rPr>
              <w:t xml:space="preserve"> </w:t>
            </w:r>
          </w:p>
        </w:tc>
      </w:tr>
      <w:tr w:rsidR="008D0DE5" w:rsidRPr="00DB7230" w14:paraId="2AD4E384" w14:textId="77777777" w:rsidTr="6C4217BD">
        <w:trPr>
          <w:jc w:val="center"/>
        </w:trPr>
        <w:tc>
          <w:tcPr>
            <w:tcW w:w="2470" w:type="dxa"/>
          </w:tcPr>
          <w:p w14:paraId="000000B2" w14:textId="798C9EEC" w:rsidR="008D0DE5" w:rsidRPr="00DB7230" w:rsidRDefault="00C5140E">
            <w:pPr>
              <w:tabs>
                <w:tab w:val="left" w:pos="-720"/>
              </w:tabs>
              <w:spacing w:before="96" w:after="96"/>
              <w:rPr>
                <w:rFonts w:ascii="Arial" w:hAnsi="Arial" w:cs="Arial"/>
                <w:b/>
                <w:sz w:val="22"/>
                <w:szCs w:val="22"/>
              </w:rPr>
            </w:pPr>
            <w:r w:rsidRPr="00DB7230">
              <w:rPr>
                <w:rFonts w:ascii="Arial" w:hAnsi="Arial" w:cs="Arial"/>
                <w:b/>
                <w:sz w:val="22"/>
                <w:szCs w:val="22"/>
              </w:rPr>
              <w:t>“</w:t>
            </w:r>
            <w:r w:rsidR="00C42A31" w:rsidRPr="00DB7230">
              <w:rPr>
                <w:rFonts w:ascii="Arial" w:hAnsi="Arial" w:cs="Arial"/>
                <w:b/>
                <w:sz w:val="22"/>
                <w:szCs w:val="22"/>
              </w:rPr>
              <w:t>Distributor</w:t>
            </w:r>
            <w:r w:rsidRPr="00DB7230">
              <w:rPr>
                <w:rFonts w:ascii="Arial" w:hAnsi="Arial" w:cs="Arial"/>
                <w:b/>
                <w:sz w:val="22"/>
                <w:szCs w:val="22"/>
              </w:rPr>
              <w:t>”</w:t>
            </w:r>
          </w:p>
        </w:tc>
        <w:tc>
          <w:tcPr>
            <w:tcW w:w="12150" w:type="dxa"/>
          </w:tcPr>
          <w:p w14:paraId="000000B3" w14:textId="0CC6CD01" w:rsidR="008D0DE5" w:rsidRPr="00DB7230" w:rsidRDefault="00C42A31" w:rsidP="00F04CF4">
            <w:pPr>
              <w:tabs>
                <w:tab w:val="left" w:pos="-720"/>
              </w:tabs>
              <w:spacing w:after="96"/>
              <w:rPr>
                <w:rFonts w:ascii="Arial" w:hAnsi="Arial" w:cs="Arial"/>
                <w:sz w:val="22"/>
                <w:szCs w:val="22"/>
              </w:rPr>
            </w:pPr>
            <w:r w:rsidRPr="00DB7230">
              <w:rPr>
                <w:rFonts w:ascii="Arial" w:hAnsi="Arial" w:cs="Arial"/>
                <w:sz w:val="22"/>
                <w:szCs w:val="22"/>
              </w:rPr>
              <w:t xml:space="preserve"> means any </w:t>
            </w:r>
            <w:r w:rsidR="00EB6195">
              <w:rPr>
                <w:rFonts w:ascii="Arial" w:hAnsi="Arial" w:cs="Arial"/>
                <w:sz w:val="22"/>
                <w:szCs w:val="22"/>
              </w:rPr>
              <w:t>P</w:t>
            </w:r>
            <w:r w:rsidRPr="00DB7230">
              <w:rPr>
                <w:rFonts w:ascii="Arial" w:hAnsi="Arial" w:cs="Arial"/>
                <w:sz w:val="22"/>
                <w:szCs w:val="22"/>
              </w:rPr>
              <w:t xml:space="preserve">erson appointed by </w:t>
            </w:r>
            <w:r w:rsidR="008368C2" w:rsidRPr="00DB7230">
              <w:rPr>
                <w:rFonts w:ascii="Arial" w:hAnsi="Arial" w:cs="Arial"/>
                <w:sz w:val="22"/>
                <w:szCs w:val="22"/>
              </w:rPr>
              <w:t>a Selling Party</w:t>
            </w:r>
            <w:r w:rsidRPr="00DB7230">
              <w:rPr>
                <w:rFonts w:ascii="Arial" w:hAnsi="Arial" w:cs="Arial"/>
                <w:sz w:val="22"/>
                <w:szCs w:val="22"/>
              </w:rPr>
              <w:t xml:space="preserve"> to distribute, </w:t>
            </w:r>
            <w:proofErr w:type="gramStart"/>
            <w:r w:rsidRPr="00DB7230">
              <w:rPr>
                <w:rFonts w:ascii="Arial" w:hAnsi="Arial" w:cs="Arial"/>
                <w:sz w:val="22"/>
                <w:szCs w:val="22"/>
              </w:rPr>
              <w:t>market</w:t>
            </w:r>
            <w:proofErr w:type="gramEnd"/>
            <w:r w:rsidRPr="00DB7230">
              <w:rPr>
                <w:rFonts w:ascii="Arial" w:hAnsi="Arial" w:cs="Arial"/>
                <w:sz w:val="22"/>
                <w:szCs w:val="22"/>
              </w:rPr>
              <w:t xml:space="preserve"> and sell Licensed Product, with or without packaging rights, in one or more countries in the Territory, in circumstances where such Person purchases its requirements of Licensed Product from </w:t>
            </w:r>
            <w:r w:rsidR="008368C2" w:rsidRPr="00DB7230">
              <w:rPr>
                <w:rFonts w:ascii="Arial" w:hAnsi="Arial" w:cs="Arial"/>
                <w:sz w:val="22"/>
                <w:szCs w:val="22"/>
              </w:rPr>
              <w:t>the Selling Party</w:t>
            </w:r>
            <w:r w:rsidRPr="00DB7230">
              <w:rPr>
                <w:rFonts w:ascii="Arial" w:hAnsi="Arial" w:cs="Arial"/>
                <w:sz w:val="22"/>
                <w:szCs w:val="22"/>
              </w:rPr>
              <w:t xml:space="preserve">, but does not otherwise make any royalty or other payment to </w:t>
            </w:r>
            <w:r w:rsidR="008368C2" w:rsidRPr="00DB7230">
              <w:rPr>
                <w:rFonts w:ascii="Arial" w:hAnsi="Arial" w:cs="Arial"/>
                <w:sz w:val="22"/>
                <w:szCs w:val="22"/>
              </w:rPr>
              <w:t>the Selling Party</w:t>
            </w:r>
            <w:r w:rsidRPr="00DB7230">
              <w:rPr>
                <w:rFonts w:ascii="Arial" w:hAnsi="Arial" w:cs="Arial"/>
                <w:sz w:val="22"/>
                <w:szCs w:val="22"/>
              </w:rPr>
              <w:t xml:space="preserve"> in consideration of intellectual property rights with respect to such Licensed Product.</w:t>
            </w:r>
          </w:p>
        </w:tc>
      </w:tr>
      <w:tr w:rsidR="008D0DE5" w:rsidRPr="00DB7230" w14:paraId="4428FD5E" w14:textId="77777777" w:rsidTr="6C4217BD">
        <w:trPr>
          <w:jc w:val="center"/>
        </w:trPr>
        <w:tc>
          <w:tcPr>
            <w:tcW w:w="2470" w:type="dxa"/>
          </w:tcPr>
          <w:p w14:paraId="000000B4" w14:textId="2271E4BB" w:rsidR="008D0DE5" w:rsidRPr="00DB7230" w:rsidRDefault="00C5140E">
            <w:pPr>
              <w:tabs>
                <w:tab w:val="left" w:pos="-720"/>
              </w:tabs>
              <w:spacing w:before="96" w:after="96"/>
              <w:rPr>
                <w:rFonts w:ascii="Arial" w:hAnsi="Arial" w:cs="Arial"/>
                <w:b/>
                <w:sz w:val="22"/>
                <w:szCs w:val="22"/>
              </w:rPr>
            </w:pPr>
            <w:r w:rsidRPr="00DB7230">
              <w:rPr>
                <w:rFonts w:ascii="Arial" w:hAnsi="Arial" w:cs="Arial"/>
                <w:b/>
                <w:sz w:val="22"/>
                <w:szCs w:val="22"/>
              </w:rPr>
              <w:t>“</w:t>
            </w:r>
            <w:r w:rsidR="00C42A31" w:rsidRPr="00DB7230">
              <w:rPr>
                <w:rFonts w:ascii="Arial" w:hAnsi="Arial" w:cs="Arial"/>
                <w:b/>
                <w:sz w:val="22"/>
                <w:szCs w:val="22"/>
              </w:rPr>
              <w:t>Effective Date</w:t>
            </w:r>
            <w:r w:rsidRPr="00DB7230">
              <w:rPr>
                <w:rFonts w:ascii="Arial" w:hAnsi="Arial" w:cs="Arial"/>
                <w:b/>
                <w:sz w:val="22"/>
                <w:szCs w:val="22"/>
              </w:rPr>
              <w:t>”</w:t>
            </w:r>
            <w:r w:rsidR="00C42A31" w:rsidRPr="00DB7230">
              <w:rPr>
                <w:rFonts w:ascii="Arial" w:hAnsi="Arial" w:cs="Arial"/>
                <w:b/>
                <w:sz w:val="22"/>
                <w:szCs w:val="22"/>
              </w:rPr>
              <w:t xml:space="preserve"> </w:t>
            </w:r>
          </w:p>
        </w:tc>
        <w:tc>
          <w:tcPr>
            <w:tcW w:w="12150" w:type="dxa"/>
          </w:tcPr>
          <w:p w14:paraId="000000B5" w14:textId="6DA71524" w:rsidR="008D0DE5" w:rsidRPr="00DB7230" w:rsidRDefault="00C42A31" w:rsidP="00F04CF4">
            <w:pPr>
              <w:tabs>
                <w:tab w:val="left" w:pos="-720"/>
              </w:tabs>
              <w:spacing w:after="96"/>
              <w:rPr>
                <w:rFonts w:ascii="Arial" w:hAnsi="Arial" w:cs="Arial"/>
                <w:sz w:val="22"/>
                <w:szCs w:val="22"/>
              </w:rPr>
            </w:pPr>
            <w:r w:rsidRPr="00DB7230">
              <w:rPr>
                <w:rFonts w:ascii="Arial" w:hAnsi="Arial" w:cs="Arial"/>
                <w:sz w:val="22"/>
                <w:szCs w:val="22"/>
              </w:rPr>
              <w:t>means the date of the License Agreement.</w:t>
            </w:r>
          </w:p>
        </w:tc>
      </w:tr>
      <w:tr w:rsidR="008D0DE5" w:rsidRPr="00DB7230" w14:paraId="738CE4C0" w14:textId="77777777" w:rsidTr="6C4217BD">
        <w:trPr>
          <w:jc w:val="center"/>
        </w:trPr>
        <w:tc>
          <w:tcPr>
            <w:tcW w:w="2470" w:type="dxa"/>
          </w:tcPr>
          <w:p w14:paraId="000000B6" w14:textId="65547C11" w:rsidR="008D0DE5" w:rsidRPr="00DB7230" w:rsidRDefault="00C5140E">
            <w:pPr>
              <w:tabs>
                <w:tab w:val="left" w:pos="-720"/>
              </w:tabs>
              <w:spacing w:before="96" w:after="96"/>
              <w:rPr>
                <w:rFonts w:ascii="Arial" w:hAnsi="Arial" w:cs="Arial"/>
                <w:b/>
                <w:sz w:val="22"/>
                <w:szCs w:val="22"/>
              </w:rPr>
            </w:pPr>
            <w:r w:rsidRPr="00DB7230">
              <w:rPr>
                <w:rFonts w:ascii="Arial" w:hAnsi="Arial" w:cs="Arial"/>
                <w:b/>
                <w:sz w:val="22"/>
                <w:szCs w:val="22"/>
              </w:rPr>
              <w:t>“</w:t>
            </w:r>
            <w:r w:rsidR="00C42A31" w:rsidRPr="00DB7230">
              <w:rPr>
                <w:rFonts w:ascii="Arial" w:hAnsi="Arial" w:cs="Arial"/>
                <w:b/>
                <w:sz w:val="22"/>
                <w:szCs w:val="22"/>
              </w:rPr>
              <w:t>First Commercial Sale</w:t>
            </w:r>
            <w:r w:rsidRPr="00DB7230">
              <w:rPr>
                <w:rFonts w:ascii="Arial" w:hAnsi="Arial" w:cs="Arial"/>
                <w:b/>
                <w:sz w:val="22"/>
                <w:szCs w:val="22"/>
              </w:rPr>
              <w:t>”</w:t>
            </w:r>
          </w:p>
        </w:tc>
        <w:tc>
          <w:tcPr>
            <w:tcW w:w="12150" w:type="dxa"/>
          </w:tcPr>
          <w:p w14:paraId="000000B7" w14:textId="19D698C0" w:rsidR="008D0DE5" w:rsidRPr="00DB7230" w:rsidRDefault="00C42A31" w:rsidP="00F04CF4">
            <w:pPr>
              <w:tabs>
                <w:tab w:val="left" w:pos="-720"/>
              </w:tabs>
              <w:spacing w:after="96"/>
              <w:rPr>
                <w:rFonts w:ascii="Arial" w:hAnsi="Arial" w:cs="Arial"/>
                <w:sz w:val="22"/>
                <w:szCs w:val="22"/>
              </w:rPr>
            </w:pPr>
            <w:r w:rsidRPr="00DB7230">
              <w:rPr>
                <w:rFonts w:ascii="Arial" w:hAnsi="Arial" w:cs="Arial"/>
                <w:sz w:val="22"/>
                <w:szCs w:val="22"/>
              </w:rPr>
              <w:t>means the first sale, rental, or lease</w:t>
            </w:r>
            <w:r w:rsidR="00C01AEE" w:rsidRPr="00DB7230">
              <w:rPr>
                <w:rFonts w:ascii="Arial" w:hAnsi="Arial" w:cs="Arial"/>
                <w:sz w:val="22"/>
                <w:szCs w:val="22"/>
              </w:rPr>
              <w:t>,</w:t>
            </w:r>
            <w:r w:rsidRPr="00DB7230">
              <w:rPr>
                <w:rFonts w:ascii="Arial" w:hAnsi="Arial" w:cs="Arial"/>
                <w:sz w:val="22"/>
                <w:szCs w:val="22"/>
              </w:rPr>
              <w:t xml:space="preserve"> in all cases through a bona fide arm’s-length transaction, or commercial use, of any Licensed Product by</w:t>
            </w:r>
            <w:r w:rsidR="00A56432" w:rsidRPr="00DB7230">
              <w:rPr>
                <w:rFonts w:ascii="Arial" w:hAnsi="Arial" w:cs="Arial"/>
                <w:sz w:val="22"/>
                <w:szCs w:val="22"/>
              </w:rPr>
              <w:t xml:space="preserve"> a Selling Party</w:t>
            </w:r>
            <w:r w:rsidRPr="00DB7230">
              <w:rPr>
                <w:rFonts w:ascii="Arial" w:hAnsi="Arial" w:cs="Arial"/>
                <w:sz w:val="22"/>
                <w:szCs w:val="22"/>
              </w:rPr>
              <w:t xml:space="preserve">, excluding </w:t>
            </w:r>
            <w:r w:rsidR="00226C5F">
              <w:rPr>
                <w:rFonts w:ascii="Arial" w:hAnsi="Arial" w:cs="Arial"/>
                <w:sz w:val="22"/>
                <w:szCs w:val="22"/>
              </w:rPr>
              <w:t>Non-Commercial Sales</w:t>
            </w:r>
            <w:r w:rsidRPr="00DB7230">
              <w:rPr>
                <w:rFonts w:ascii="Arial" w:hAnsi="Arial" w:cs="Arial"/>
                <w:sz w:val="22"/>
                <w:szCs w:val="22"/>
              </w:rPr>
              <w:t>.</w:t>
            </w:r>
          </w:p>
        </w:tc>
      </w:tr>
      <w:tr w:rsidR="008D0DE5" w:rsidRPr="00DB7230" w14:paraId="7F307F46" w14:textId="77777777" w:rsidTr="6C4217BD">
        <w:trPr>
          <w:jc w:val="center"/>
        </w:trPr>
        <w:tc>
          <w:tcPr>
            <w:tcW w:w="2470" w:type="dxa"/>
          </w:tcPr>
          <w:p w14:paraId="000000B8" w14:textId="7E5AB82A" w:rsidR="008D0DE5" w:rsidRPr="00DB7230" w:rsidRDefault="00C5140E">
            <w:pPr>
              <w:tabs>
                <w:tab w:val="left" w:pos="-720"/>
              </w:tabs>
              <w:spacing w:before="48" w:after="48"/>
              <w:rPr>
                <w:rFonts w:ascii="Arial" w:hAnsi="Arial" w:cs="Arial"/>
                <w:b/>
                <w:sz w:val="22"/>
                <w:szCs w:val="22"/>
                <w:highlight w:val="yellow"/>
              </w:rPr>
            </w:pPr>
            <w:r w:rsidRPr="00DB7230">
              <w:rPr>
                <w:rFonts w:ascii="Arial" w:hAnsi="Arial" w:cs="Arial"/>
                <w:b/>
                <w:sz w:val="22"/>
                <w:szCs w:val="22"/>
              </w:rPr>
              <w:t>“</w:t>
            </w:r>
            <w:r w:rsidR="00C42A31" w:rsidRPr="00DB7230">
              <w:rPr>
                <w:rFonts w:ascii="Arial" w:hAnsi="Arial" w:cs="Arial"/>
                <w:b/>
                <w:sz w:val="22"/>
                <w:szCs w:val="22"/>
              </w:rPr>
              <w:t>Know-How Product</w:t>
            </w:r>
            <w:r w:rsidRPr="00DB7230">
              <w:rPr>
                <w:rFonts w:ascii="Arial" w:hAnsi="Arial" w:cs="Arial"/>
                <w:b/>
                <w:sz w:val="22"/>
                <w:szCs w:val="22"/>
              </w:rPr>
              <w:t>”</w:t>
            </w:r>
          </w:p>
        </w:tc>
        <w:tc>
          <w:tcPr>
            <w:tcW w:w="12150" w:type="dxa"/>
          </w:tcPr>
          <w:p w14:paraId="000000B9" w14:textId="5CF390C4" w:rsidR="008D0DE5" w:rsidRPr="00DB7230" w:rsidRDefault="00C42A31" w:rsidP="00F04CF4">
            <w:pPr>
              <w:tabs>
                <w:tab w:val="left" w:pos="-720"/>
              </w:tabs>
              <w:spacing w:after="48"/>
              <w:rPr>
                <w:rFonts w:ascii="Arial" w:hAnsi="Arial" w:cs="Arial"/>
                <w:sz w:val="22"/>
                <w:szCs w:val="22"/>
              </w:rPr>
            </w:pPr>
            <w:r w:rsidRPr="00DB7230">
              <w:rPr>
                <w:rFonts w:ascii="Arial" w:hAnsi="Arial" w:cs="Arial"/>
                <w:sz w:val="22"/>
                <w:szCs w:val="22"/>
              </w:rPr>
              <w:t xml:space="preserve">means </w:t>
            </w:r>
            <w:r w:rsidR="00B87199" w:rsidRPr="00DB7230">
              <w:rPr>
                <w:rFonts w:ascii="Arial" w:hAnsi="Arial" w:cs="Arial"/>
                <w:sz w:val="22"/>
                <w:szCs w:val="22"/>
              </w:rPr>
              <w:t xml:space="preserve">(a) </w:t>
            </w:r>
            <w:r w:rsidRPr="00DB7230">
              <w:rPr>
                <w:rFonts w:ascii="Arial" w:hAnsi="Arial" w:cs="Arial"/>
                <w:sz w:val="22"/>
                <w:szCs w:val="22"/>
              </w:rPr>
              <w:t>any product, method, or service that is Covered by Licensed Know-How, but excludes Patent Products</w:t>
            </w:r>
            <w:r w:rsidR="00B87199" w:rsidRPr="00DB7230">
              <w:rPr>
                <w:rFonts w:ascii="Arial" w:hAnsi="Arial" w:cs="Arial"/>
                <w:sz w:val="22"/>
                <w:szCs w:val="22"/>
              </w:rPr>
              <w:t xml:space="preserve"> and (b) which has been nominated as a development candidate within [5] years </w:t>
            </w:r>
            <w:r w:rsidR="00C01AEE" w:rsidRPr="00DB7230">
              <w:rPr>
                <w:rFonts w:ascii="Arial" w:hAnsi="Arial" w:cs="Arial"/>
                <w:sz w:val="22"/>
                <w:szCs w:val="22"/>
              </w:rPr>
              <w:t>of</w:t>
            </w:r>
            <w:r w:rsidR="00B87199" w:rsidRPr="00DB7230">
              <w:rPr>
                <w:rFonts w:ascii="Arial" w:hAnsi="Arial" w:cs="Arial"/>
                <w:sz w:val="22"/>
                <w:szCs w:val="22"/>
              </w:rPr>
              <w:t xml:space="preserve"> the Effective Date</w:t>
            </w:r>
            <w:r w:rsidRPr="00DB7230">
              <w:rPr>
                <w:rFonts w:ascii="Arial" w:hAnsi="Arial" w:cs="Arial"/>
                <w:sz w:val="22"/>
                <w:szCs w:val="22"/>
              </w:rPr>
              <w:t>.</w:t>
            </w:r>
            <w:r w:rsidR="00F25771" w:rsidRPr="00DB7230">
              <w:rPr>
                <w:rStyle w:val="FootnoteReference"/>
                <w:rFonts w:ascii="Arial" w:hAnsi="Arial" w:cs="Arial"/>
                <w:sz w:val="22"/>
                <w:szCs w:val="22"/>
              </w:rPr>
              <w:footnoteReference w:id="42"/>
            </w:r>
            <w:r w:rsidRPr="00DB7230">
              <w:rPr>
                <w:rFonts w:ascii="Arial" w:hAnsi="Arial" w:cs="Arial"/>
                <w:sz w:val="22"/>
                <w:szCs w:val="22"/>
              </w:rPr>
              <w:t xml:space="preserve">   </w:t>
            </w:r>
          </w:p>
        </w:tc>
      </w:tr>
      <w:tr w:rsidR="008D0DE5" w:rsidRPr="00DB7230" w14:paraId="028FA56E" w14:textId="77777777" w:rsidTr="6C4217BD">
        <w:trPr>
          <w:jc w:val="center"/>
        </w:trPr>
        <w:tc>
          <w:tcPr>
            <w:tcW w:w="2470" w:type="dxa"/>
          </w:tcPr>
          <w:p w14:paraId="000000BA" w14:textId="76917C9A" w:rsidR="008D0DE5" w:rsidRPr="00DB7230" w:rsidRDefault="00C5140E">
            <w:pPr>
              <w:tabs>
                <w:tab w:val="left" w:pos="-720"/>
              </w:tabs>
              <w:spacing w:before="48" w:after="48"/>
              <w:rPr>
                <w:rFonts w:ascii="Arial" w:hAnsi="Arial" w:cs="Arial"/>
                <w:b/>
                <w:sz w:val="22"/>
                <w:szCs w:val="22"/>
              </w:rPr>
            </w:pPr>
            <w:r w:rsidRPr="00DB7230">
              <w:rPr>
                <w:rFonts w:ascii="Arial" w:hAnsi="Arial" w:cs="Arial"/>
                <w:b/>
                <w:sz w:val="22"/>
                <w:szCs w:val="22"/>
              </w:rPr>
              <w:t>“</w:t>
            </w:r>
            <w:r w:rsidR="00C42A31" w:rsidRPr="00DB7230">
              <w:rPr>
                <w:rFonts w:ascii="Arial" w:hAnsi="Arial" w:cs="Arial"/>
                <w:b/>
                <w:sz w:val="22"/>
                <w:szCs w:val="22"/>
              </w:rPr>
              <w:t>Licensed Compound</w:t>
            </w:r>
            <w:r w:rsidRPr="00DB7230">
              <w:rPr>
                <w:rFonts w:ascii="Arial" w:hAnsi="Arial" w:cs="Arial"/>
                <w:b/>
                <w:sz w:val="22"/>
                <w:szCs w:val="22"/>
              </w:rPr>
              <w:t>”</w:t>
            </w:r>
          </w:p>
        </w:tc>
        <w:tc>
          <w:tcPr>
            <w:tcW w:w="12150" w:type="dxa"/>
          </w:tcPr>
          <w:p w14:paraId="000000BB" w14:textId="76676878" w:rsidR="008D0DE5" w:rsidRPr="00DB7230" w:rsidRDefault="00050D99">
            <w:pPr>
              <w:tabs>
                <w:tab w:val="left" w:pos="-720"/>
                <w:tab w:val="left" w:pos="6840"/>
              </w:tabs>
              <w:spacing w:before="48" w:after="48"/>
              <w:rPr>
                <w:rFonts w:ascii="Arial" w:hAnsi="Arial" w:cs="Arial"/>
                <w:sz w:val="22"/>
                <w:szCs w:val="22"/>
              </w:rPr>
            </w:pPr>
            <w:r w:rsidRPr="00DB7230">
              <w:rPr>
                <w:rFonts w:ascii="Arial" w:hAnsi="Arial" w:cs="Arial"/>
                <w:sz w:val="22"/>
                <w:szCs w:val="22"/>
              </w:rPr>
              <w:t xml:space="preserve">means </w:t>
            </w:r>
            <w:r w:rsidR="008F7707" w:rsidRPr="00DB7230">
              <w:rPr>
                <w:rFonts w:ascii="Arial" w:hAnsi="Arial" w:cs="Arial"/>
                <w:sz w:val="22"/>
                <w:szCs w:val="22"/>
              </w:rPr>
              <w:t>any molecule or compound that constitutes a Patent Product or Know-How Product that is included within a Combination Product.</w:t>
            </w:r>
          </w:p>
          <w:p w14:paraId="000000BC" w14:textId="77777777" w:rsidR="008D0DE5" w:rsidRPr="00DB7230" w:rsidRDefault="008D0DE5">
            <w:pPr>
              <w:tabs>
                <w:tab w:val="left" w:pos="-720"/>
                <w:tab w:val="left" w:pos="6840"/>
              </w:tabs>
              <w:spacing w:before="48" w:after="48"/>
              <w:rPr>
                <w:rFonts w:ascii="Arial" w:hAnsi="Arial" w:cs="Arial"/>
                <w:sz w:val="22"/>
                <w:szCs w:val="22"/>
              </w:rPr>
            </w:pPr>
          </w:p>
        </w:tc>
      </w:tr>
      <w:tr w:rsidR="00470CBC" w:rsidRPr="00DB7230" w14:paraId="58C7EF2E" w14:textId="77777777" w:rsidTr="6C4217BD">
        <w:trPr>
          <w:jc w:val="center"/>
        </w:trPr>
        <w:tc>
          <w:tcPr>
            <w:tcW w:w="2470" w:type="dxa"/>
          </w:tcPr>
          <w:p w14:paraId="07BF70B4" w14:textId="0AFD22D1" w:rsidR="00470CBC" w:rsidRPr="00DB7230" w:rsidRDefault="00470CBC">
            <w:pPr>
              <w:tabs>
                <w:tab w:val="left" w:pos="-720"/>
              </w:tabs>
              <w:spacing w:before="48" w:after="48"/>
              <w:rPr>
                <w:rFonts w:ascii="Arial" w:hAnsi="Arial" w:cs="Arial"/>
                <w:b/>
                <w:sz w:val="22"/>
                <w:szCs w:val="22"/>
              </w:rPr>
            </w:pPr>
            <w:r w:rsidRPr="00DB7230">
              <w:rPr>
                <w:rFonts w:ascii="Arial" w:hAnsi="Arial" w:cs="Arial"/>
                <w:b/>
                <w:sz w:val="22"/>
                <w:szCs w:val="22"/>
              </w:rPr>
              <w:t>“Licensed Know-How”</w:t>
            </w:r>
          </w:p>
        </w:tc>
        <w:tc>
          <w:tcPr>
            <w:tcW w:w="12150" w:type="dxa"/>
          </w:tcPr>
          <w:p w14:paraId="565367F4" w14:textId="4CE5D080" w:rsidR="00470CBC" w:rsidRPr="00DB7230" w:rsidRDefault="00470CBC" w:rsidP="0062071D">
            <w:pPr>
              <w:tabs>
                <w:tab w:val="left" w:pos="-720"/>
                <w:tab w:val="left" w:pos="6840"/>
              </w:tabs>
              <w:spacing w:after="48"/>
              <w:rPr>
                <w:rFonts w:ascii="Arial" w:hAnsi="Arial" w:cs="Arial"/>
                <w:bCs/>
                <w:sz w:val="22"/>
                <w:szCs w:val="22"/>
              </w:rPr>
            </w:pPr>
            <w:r w:rsidRPr="00DB7230">
              <w:rPr>
                <w:rFonts w:ascii="Arial" w:hAnsi="Arial" w:cs="Arial"/>
                <w:color w:val="000000"/>
                <w:sz w:val="22"/>
                <w:szCs w:val="22"/>
              </w:rPr>
              <w:t xml:space="preserve">means any know-how, technical information, tangible materials and/or data, that (a) is expressly identified in </w:t>
            </w:r>
            <w:r w:rsidRPr="00DB7230">
              <w:rPr>
                <w:rFonts w:ascii="Arial" w:hAnsi="Arial" w:cs="Arial"/>
                <w:color w:val="000000"/>
                <w:sz w:val="22"/>
                <w:szCs w:val="22"/>
                <w:u w:val="single"/>
              </w:rPr>
              <w:t>Exhibit B</w:t>
            </w:r>
            <w:r w:rsidRPr="00DB7230">
              <w:rPr>
                <w:rFonts w:ascii="Arial" w:hAnsi="Arial" w:cs="Arial"/>
                <w:color w:val="000000"/>
                <w:sz w:val="22"/>
                <w:szCs w:val="22"/>
              </w:rPr>
              <w:t xml:space="preserve"> or (b) was developed by or under the direction of [Principal Investigator] prior to the Effective Date</w:t>
            </w:r>
            <w:r w:rsidR="00226C5F">
              <w:rPr>
                <w:rFonts w:ascii="Arial" w:hAnsi="Arial" w:cs="Arial"/>
                <w:color w:val="000000"/>
                <w:sz w:val="22"/>
                <w:szCs w:val="22"/>
              </w:rPr>
              <w:t>, but excluding any know-how, technical information or data that was in the public domain prior to the Effective Date</w:t>
            </w:r>
            <w:r w:rsidRPr="00DB7230">
              <w:rPr>
                <w:rFonts w:ascii="Arial" w:hAnsi="Arial" w:cs="Arial"/>
                <w:color w:val="000000"/>
                <w:sz w:val="22"/>
                <w:szCs w:val="22"/>
              </w:rPr>
              <w:t>.</w:t>
            </w:r>
          </w:p>
        </w:tc>
      </w:tr>
      <w:tr w:rsidR="008D0DE5" w:rsidRPr="00DB7230" w14:paraId="5BCA3052" w14:textId="77777777" w:rsidTr="6C4217BD">
        <w:trPr>
          <w:jc w:val="center"/>
        </w:trPr>
        <w:tc>
          <w:tcPr>
            <w:tcW w:w="2470" w:type="dxa"/>
          </w:tcPr>
          <w:p w14:paraId="000000BD" w14:textId="3C58849C" w:rsidR="008D0DE5" w:rsidRPr="00DB7230" w:rsidRDefault="00C5140E">
            <w:pPr>
              <w:tabs>
                <w:tab w:val="left" w:pos="-720"/>
              </w:tabs>
              <w:spacing w:before="48" w:after="48"/>
              <w:rPr>
                <w:rFonts w:ascii="Arial" w:hAnsi="Arial" w:cs="Arial"/>
                <w:b/>
                <w:sz w:val="22"/>
                <w:szCs w:val="22"/>
              </w:rPr>
            </w:pPr>
            <w:r w:rsidRPr="00DB7230">
              <w:rPr>
                <w:rFonts w:ascii="Arial" w:hAnsi="Arial" w:cs="Arial"/>
                <w:b/>
                <w:sz w:val="22"/>
                <w:szCs w:val="22"/>
              </w:rPr>
              <w:lastRenderedPageBreak/>
              <w:t>“</w:t>
            </w:r>
            <w:r w:rsidR="00C42A31" w:rsidRPr="00DB7230">
              <w:rPr>
                <w:rFonts w:ascii="Arial" w:hAnsi="Arial" w:cs="Arial"/>
                <w:b/>
                <w:sz w:val="22"/>
                <w:szCs w:val="22"/>
              </w:rPr>
              <w:t>Licensed Products</w:t>
            </w:r>
            <w:r w:rsidRPr="00DB7230">
              <w:rPr>
                <w:rFonts w:ascii="Arial" w:hAnsi="Arial" w:cs="Arial"/>
                <w:b/>
                <w:sz w:val="22"/>
                <w:szCs w:val="22"/>
              </w:rPr>
              <w:t>”</w:t>
            </w:r>
            <w:r w:rsidR="00C42A31" w:rsidRPr="00DB7230">
              <w:rPr>
                <w:rFonts w:ascii="Arial" w:hAnsi="Arial" w:cs="Arial"/>
                <w:b/>
                <w:sz w:val="22"/>
                <w:szCs w:val="22"/>
              </w:rPr>
              <w:t xml:space="preserve"> </w:t>
            </w:r>
          </w:p>
        </w:tc>
        <w:tc>
          <w:tcPr>
            <w:tcW w:w="12150" w:type="dxa"/>
          </w:tcPr>
          <w:p w14:paraId="000000BE" w14:textId="06C5D9B9" w:rsidR="008D0DE5" w:rsidRPr="00DB7230" w:rsidRDefault="00C42A31" w:rsidP="00F04CF4">
            <w:pPr>
              <w:tabs>
                <w:tab w:val="left" w:pos="-720"/>
              </w:tabs>
              <w:spacing w:after="48"/>
              <w:rPr>
                <w:rFonts w:ascii="Arial" w:hAnsi="Arial" w:cs="Arial"/>
                <w:sz w:val="22"/>
                <w:szCs w:val="22"/>
              </w:rPr>
            </w:pPr>
            <w:r w:rsidRPr="00DB7230">
              <w:rPr>
                <w:rFonts w:ascii="Arial" w:hAnsi="Arial" w:cs="Arial"/>
                <w:sz w:val="22"/>
                <w:szCs w:val="22"/>
              </w:rPr>
              <w:t xml:space="preserve">means Patent Products and Know-How Products. </w:t>
            </w:r>
          </w:p>
        </w:tc>
      </w:tr>
      <w:tr w:rsidR="008D0DE5" w:rsidRPr="00DB7230" w14:paraId="456C4112" w14:textId="77777777" w:rsidTr="6C4217BD">
        <w:trPr>
          <w:jc w:val="center"/>
        </w:trPr>
        <w:tc>
          <w:tcPr>
            <w:tcW w:w="2470" w:type="dxa"/>
          </w:tcPr>
          <w:p w14:paraId="000000C3" w14:textId="2CA873EE" w:rsidR="008D0DE5" w:rsidRPr="00DB7230" w:rsidRDefault="00C5140E">
            <w:pPr>
              <w:tabs>
                <w:tab w:val="left" w:pos="-720"/>
              </w:tabs>
              <w:spacing w:before="96" w:after="96"/>
              <w:rPr>
                <w:rFonts w:ascii="Arial" w:hAnsi="Arial" w:cs="Arial"/>
                <w:b/>
                <w:sz w:val="22"/>
                <w:szCs w:val="22"/>
              </w:rPr>
            </w:pPr>
            <w:r w:rsidRPr="00DB7230">
              <w:rPr>
                <w:rFonts w:ascii="Arial" w:hAnsi="Arial" w:cs="Arial"/>
                <w:b/>
                <w:sz w:val="22"/>
                <w:szCs w:val="22"/>
              </w:rPr>
              <w:t>“</w:t>
            </w:r>
            <w:r w:rsidR="00C42A31" w:rsidRPr="00DB7230">
              <w:rPr>
                <w:rFonts w:ascii="Arial" w:hAnsi="Arial" w:cs="Arial"/>
                <w:b/>
                <w:sz w:val="22"/>
                <w:szCs w:val="22"/>
              </w:rPr>
              <w:t>Licensed Technology</w:t>
            </w:r>
            <w:r w:rsidRPr="00DB7230">
              <w:rPr>
                <w:rFonts w:ascii="Arial" w:hAnsi="Arial" w:cs="Arial"/>
                <w:b/>
                <w:sz w:val="22"/>
                <w:szCs w:val="22"/>
              </w:rPr>
              <w:t>”</w:t>
            </w:r>
          </w:p>
        </w:tc>
        <w:tc>
          <w:tcPr>
            <w:tcW w:w="12150" w:type="dxa"/>
          </w:tcPr>
          <w:p w14:paraId="000000C4" w14:textId="1EB12056" w:rsidR="008D0DE5" w:rsidRPr="00DB7230" w:rsidRDefault="00C42A31" w:rsidP="00F04CF4">
            <w:pPr>
              <w:tabs>
                <w:tab w:val="left" w:pos="-720"/>
              </w:tabs>
              <w:spacing w:after="96"/>
              <w:rPr>
                <w:rFonts w:ascii="Arial" w:hAnsi="Arial" w:cs="Arial"/>
                <w:sz w:val="22"/>
                <w:szCs w:val="22"/>
              </w:rPr>
            </w:pPr>
            <w:r w:rsidRPr="00DB7230">
              <w:rPr>
                <w:rFonts w:ascii="Arial" w:hAnsi="Arial" w:cs="Arial"/>
                <w:sz w:val="22"/>
                <w:szCs w:val="22"/>
              </w:rPr>
              <w:t>means Patent Rights and Licensed Know-How.</w:t>
            </w:r>
          </w:p>
        </w:tc>
      </w:tr>
      <w:tr w:rsidR="008D0DE5" w:rsidRPr="00DB7230" w14:paraId="650930CB" w14:textId="77777777" w:rsidTr="6C4217BD">
        <w:trPr>
          <w:jc w:val="center"/>
        </w:trPr>
        <w:tc>
          <w:tcPr>
            <w:tcW w:w="2470" w:type="dxa"/>
          </w:tcPr>
          <w:p w14:paraId="000000C5" w14:textId="0F45CE1D" w:rsidR="008D0DE5" w:rsidRPr="00DB7230" w:rsidRDefault="00C5140E">
            <w:pPr>
              <w:tabs>
                <w:tab w:val="left" w:pos="-720"/>
              </w:tabs>
              <w:spacing w:before="96" w:after="96"/>
              <w:rPr>
                <w:rFonts w:ascii="Arial" w:hAnsi="Arial" w:cs="Arial"/>
                <w:b/>
                <w:sz w:val="22"/>
                <w:szCs w:val="22"/>
              </w:rPr>
            </w:pPr>
            <w:r w:rsidRPr="00DB7230">
              <w:rPr>
                <w:rFonts w:ascii="Arial" w:hAnsi="Arial" w:cs="Arial"/>
                <w:b/>
                <w:sz w:val="22"/>
                <w:szCs w:val="22"/>
              </w:rPr>
              <w:t>“</w:t>
            </w:r>
            <w:r w:rsidR="00C42A31" w:rsidRPr="00DB7230">
              <w:rPr>
                <w:rFonts w:ascii="Arial" w:hAnsi="Arial" w:cs="Arial"/>
                <w:b/>
                <w:sz w:val="22"/>
                <w:szCs w:val="22"/>
              </w:rPr>
              <w:t>Other Components</w:t>
            </w:r>
            <w:r w:rsidRPr="00DB7230">
              <w:rPr>
                <w:rFonts w:ascii="Arial" w:hAnsi="Arial" w:cs="Arial"/>
                <w:b/>
                <w:sz w:val="22"/>
                <w:szCs w:val="22"/>
              </w:rPr>
              <w:t>”</w:t>
            </w:r>
          </w:p>
        </w:tc>
        <w:tc>
          <w:tcPr>
            <w:tcW w:w="12150" w:type="dxa"/>
          </w:tcPr>
          <w:p w14:paraId="000000C6" w14:textId="6FC44505" w:rsidR="008D0DE5" w:rsidRPr="00DB7230" w:rsidRDefault="150EBF48" w:rsidP="00F04CF4">
            <w:pPr>
              <w:pStyle w:val="Heading2"/>
              <w:numPr>
                <w:ilvl w:val="1"/>
                <w:numId w:val="0"/>
              </w:numPr>
              <w:spacing w:before="0"/>
              <w:rPr>
                <w:rFonts w:ascii="Arial" w:hAnsi="Arial"/>
                <w:sz w:val="22"/>
                <w:szCs w:val="22"/>
              </w:rPr>
            </w:pPr>
            <w:r w:rsidRPr="00DB7230">
              <w:rPr>
                <w:rFonts w:ascii="Arial" w:hAnsi="Arial"/>
                <w:sz w:val="22"/>
                <w:szCs w:val="22"/>
              </w:rPr>
              <w:t>means any delivery system(s), devices(s), companion diagnostics and/or one or more additional A</w:t>
            </w:r>
            <w:r w:rsidR="00C01AEE" w:rsidRPr="00DB7230">
              <w:rPr>
                <w:rFonts w:ascii="Arial" w:hAnsi="Arial"/>
                <w:sz w:val="22"/>
                <w:szCs w:val="22"/>
              </w:rPr>
              <w:t>ctive Ingredients</w:t>
            </w:r>
            <w:r w:rsidRPr="00DB7230">
              <w:rPr>
                <w:rFonts w:ascii="Arial" w:hAnsi="Arial"/>
                <w:sz w:val="22"/>
                <w:szCs w:val="22"/>
              </w:rPr>
              <w:t>.</w:t>
            </w:r>
          </w:p>
        </w:tc>
      </w:tr>
      <w:tr w:rsidR="00F25771" w:rsidRPr="00DB7230" w14:paraId="600E1A28" w14:textId="77777777" w:rsidTr="6C4217BD">
        <w:trPr>
          <w:jc w:val="center"/>
        </w:trPr>
        <w:tc>
          <w:tcPr>
            <w:tcW w:w="2470" w:type="dxa"/>
          </w:tcPr>
          <w:p w14:paraId="445D5118" w14:textId="5A2B870C" w:rsidR="00F25771" w:rsidRPr="00DB7230" w:rsidRDefault="00C5140E" w:rsidP="00F25771">
            <w:pPr>
              <w:tabs>
                <w:tab w:val="left" w:pos="-720"/>
              </w:tabs>
              <w:spacing w:before="96" w:after="96"/>
              <w:rPr>
                <w:rFonts w:ascii="Arial" w:hAnsi="Arial" w:cs="Arial"/>
                <w:b/>
                <w:sz w:val="22"/>
                <w:szCs w:val="22"/>
              </w:rPr>
            </w:pPr>
            <w:r w:rsidRPr="00DB7230">
              <w:rPr>
                <w:rFonts w:ascii="Arial" w:hAnsi="Arial" w:cs="Arial"/>
                <w:b/>
                <w:sz w:val="22"/>
                <w:szCs w:val="22"/>
              </w:rPr>
              <w:t>“</w:t>
            </w:r>
            <w:r w:rsidR="00F25771" w:rsidRPr="00DB7230">
              <w:rPr>
                <w:rFonts w:ascii="Arial" w:hAnsi="Arial" w:cs="Arial"/>
                <w:b/>
                <w:sz w:val="22"/>
                <w:szCs w:val="22"/>
              </w:rPr>
              <w:t>Patent Challenge</w:t>
            </w:r>
            <w:r w:rsidRPr="00DB7230">
              <w:rPr>
                <w:rFonts w:ascii="Arial" w:hAnsi="Arial" w:cs="Arial"/>
                <w:b/>
                <w:sz w:val="22"/>
                <w:szCs w:val="22"/>
              </w:rPr>
              <w:t>”</w:t>
            </w:r>
            <w:r w:rsidR="00F25771" w:rsidRPr="00DB7230">
              <w:rPr>
                <w:rFonts w:ascii="Arial" w:hAnsi="Arial" w:cs="Arial"/>
                <w:b/>
                <w:sz w:val="22"/>
                <w:szCs w:val="22"/>
              </w:rPr>
              <w:t xml:space="preserve"> </w:t>
            </w:r>
          </w:p>
        </w:tc>
        <w:tc>
          <w:tcPr>
            <w:tcW w:w="12150" w:type="dxa"/>
          </w:tcPr>
          <w:p w14:paraId="4AFCD1EC" w14:textId="0CA1424E" w:rsidR="009E029F" w:rsidRPr="00DB7230" w:rsidRDefault="00F25771" w:rsidP="00F04CF4">
            <w:pPr>
              <w:pStyle w:val="Heading2"/>
              <w:keepNext w:val="0"/>
              <w:numPr>
                <w:ilvl w:val="0"/>
                <w:numId w:val="0"/>
              </w:numPr>
              <w:tabs>
                <w:tab w:val="left" w:pos="-720"/>
                <w:tab w:val="left" w:pos="9516"/>
              </w:tabs>
              <w:spacing w:before="0" w:after="96"/>
              <w:rPr>
                <w:rFonts w:ascii="Arial" w:hAnsi="Arial"/>
                <w:sz w:val="22"/>
                <w:szCs w:val="22"/>
              </w:rPr>
            </w:pPr>
            <w:r w:rsidRPr="00DB7230">
              <w:rPr>
                <w:rFonts w:ascii="Arial" w:hAnsi="Arial"/>
                <w:sz w:val="22"/>
                <w:szCs w:val="22"/>
              </w:rPr>
              <w:t xml:space="preserve">means </w:t>
            </w:r>
            <w:r w:rsidR="009E029F" w:rsidRPr="00DB7230">
              <w:rPr>
                <w:rFonts w:ascii="Arial" w:hAnsi="Arial"/>
                <w:color w:val="000000"/>
                <w:sz w:val="22"/>
                <w:szCs w:val="22"/>
                <w:shd w:val="clear" w:color="auto" w:fill="FFFFFF"/>
              </w:rPr>
              <w:t xml:space="preserve">any direct dispute or challenge of the validity, patentability, </w:t>
            </w:r>
            <w:r w:rsidR="00226C5F">
              <w:rPr>
                <w:rFonts w:ascii="Arial" w:hAnsi="Arial"/>
                <w:color w:val="000000"/>
                <w:sz w:val="22"/>
                <w:szCs w:val="22"/>
                <w:shd w:val="clear" w:color="auto" w:fill="FFFFFF"/>
              </w:rPr>
              <w:t>[</w:t>
            </w:r>
            <w:r w:rsidR="009E029F" w:rsidRPr="00DB7230">
              <w:rPr>
                <w:rFonts w:ascii="Arial" w:hAnsi="Arial"/>
                <w:color w:val="000000"/>
                <w:sz w:val="22"/>
                <w:szCs w:val="22"/>
                <w:shd w:val="clear" w:color="auto" w:fill="FFFFFF"/>
              </w:rPr>
              <w:t>scope</w:t>
            </w:r>
            <w:r w:rsidR="00226C5F">
              <w:rPr>
                <w:rFonts w:ascii="Arial" w:hAnsi="Arial"/>
                <w:color w:val="000000"/>
                <w:sz w:val="22"/>
                <w:szCs w:val="22"/>
                <w:shd w:val="clear" w:color="auto" w:fill="FFFFFF"/>
              </w:rPr>
              <w:t>]</w:t>
            </w:r>
            <w:r w:rsidR="009E029F" w:rsidRPr="00DB7230">
              <w:rPr>
                <w:rFonts w:ascii="Arial" w:hAnsi="Arial"/>
                <w:color w:val="000000"/>
                <w:sz w:val="22"/>
                <w:szCs w:val="22"/>
                <w:shd w:val="clear" w:color="auto" w:fill="FFFFFF"/>
              </w:rPr>
              <w:t xml:space="preserve">, priority, </w:t>
            </w:r>
            <w:r w:rsidR="00226C5F">
              <w:rPr>
                <w:rFonts w:ascii="Arial" w:hAnsi="Arial"/>
                <w:color w:val="000000"/>
                <w:sz w:val="22"/>
                <w:szCs w:val="22"/>
                <w:shd w:val="clear" w:color="auto" w:fill="FFFFFF"/>
              </w:rPr>
              <w:t>[</w:t>
            </w:r>
            <w:r w:rsidR="009E029F" w:rsidRPr="00DB7230">
              <w:rPr>
                <w:rFonts w:ascii="Arial" w:hAnsi="Arial"/>
                <w:color w:val="000000"/>
                <w:sz w:val="22"/>
                <w:szCs w:val="22"/>
                <w:shd w:val="clear" w:color="auto" w:fill="FFFFFF"/>
              </w:rPr>
              <w:t>construction</w:t>
            </w:r>
            <w:r w:rsidR="00226C5F">
              <w:rPr>
                <w:rFonts w:ascii="Arial" w:hAnsi="Arial"/>
                <w:color w:val="000000"/>
                <w:sz w:val="22"/>
                <w:szCs w:val="22"/>
                <w:shd w:val="clear" w:color="auto" w:fill="FFFFFF"/>
              </w:rPr>
              <w:t>]</w:t>
            </w:r>
            <w:r w:rsidR="009E029F" w:rsidRPr="00DB7230">
              <w:rPr>
                <w:rFonts w:ascii="Arial" w:hAnsi="Arial"/>
                <w:color w:val="000000"/>
                <w:sz w:val="22"/>
                <w:szCs w:val="22"/>
                <w:shd w:val="clear" w:color="auto" w:fill="FFFFFF"/>
              </w:rPr>
              <w:t xml:space="preserve">, </w:t>
            </w:r>
            <w:r w:rsidR="00226C5F">
              <w:rPr>
                <w:rFonts w:ascii="Arial" w:hAnsi="Arial"/>
                <w:color w:val="000000"/>
                <w:sz w:val="22"/>
                <w:szCs w:val="22"/>
                <w:shd w:val="clear" w:color="auto" w:fill="FFFFFF"/>
              </w:rPr>
              <w:t>[</w:t>
            </w:r>
            <w:r w:rsidR="009E029F" w:rsidRPr="00DB7230">
              <w:rPr>
                <w:rFonts w:ascii="Arial" w:hAnsi="Arial"/>
                <w:color w:val="000000"/>
                <w:sz w:val="22"/>
                <w:szCs w:val="22"/>
                <w:shd w:val="clear" w:color="auto" w:fill="FFFFFF"/>
              </w:rPr>
              <w:t>non-infringement</w:t>
            </w:r>
            <w:r w:rsidR="00226C5F">
              <w:rPr>
                <w:rFonts w:ascii="Arial" w:hAnsi="Arial"/>
                <w:color w:val="000000"/>
                <w:sz w:val="22"/>
                <w:szCs w:val="22"/>
                <w:shd w:val="clear" w:color="auto" w:fill="FFFFFF"/>
              </w:rPr>
              <w:t>]</w:t>
            </w:r>
            <w:r w:rsidR="008E40F2">
              <w:rPr>
                <w:rStyle w:val="FootnoteReference"/>
                <w:rFonts w:ascii="Arial" w:hAnsi="Arial"/>
                <w:color w:val="000000"/>
                <w:sz w:val="22"/>
                <w:szCs w:val="22"/>
                <w:shd w:val="clear" w:color="auto" w:fill="FFFFFF"/>
              </w:rPr>
              <w:footnoteReference w:id="43"/>
            </w:r>
            <w:r w:rsidR="009E029F" w:rsidRPr="00DB7230">
              <w:rPr>
                <w:rFonts w:ascii="Arial" w:hAnsi="Arial"/>
                <w:color w:val="000000"/>
                <w:sz w:val="22"/>
                <w:szCs w:val="22"/>
                <w:shd w:val="clear" w:color="auto" w:fill="FFFFFF"/>
              </w:rPr>
              <w:t xml:space="preserve">, inventorship, ownership or enforceability of any Patent Right or any claim thereof, or opposition or assistance in the opposition of the grant of any letters patent within the Patent Rights, in any legal or administrative proceedings, including in a court of law, before the USPTO or other agency or tribunal in any jurisdiction, or in arbitration including, without limitation, by reexamination, </w:t>
            </w:r>
            <w:r w:rsidR="009E029F" w:rsidRPr="00DB7230">
              <w:rPr>
                <w:rFonts w:ascii="Arial" w:hAnsi="Arial"/>
                <w:i/>
                <w:color w:val="000000"/>
                <w:sz w:val="22"/>
                <w:szCs w:val="22"/>
                <w:shd w:val="clear" w:color="auto" w:fill="FFFFFF"/>
              </w:rPr>
              <w:t>inter partes</w:t>
            </w:r>
            <w:r w:rsidR="009E029F" w:rsidRPr="00DB7230">
              <w:rPr>
                <w:rFonts w:ascii="Arial" w:hAnsi="Arial"/>
                <w:color w:val="000000"/>
                <w:sz w:val="22"/>
                <w:szCs w:val="22"/>
                <w:shd w:val="clear" w:color="auto" w:fill="FFFFFF"/>
              </w:rPr>
              <w:t xml:space="preserve"> review, opposition, interference, post-grant review, nullity proceeding, pre</w:t>
            </w:r>
            <w:r w:rsidR="009546FD" w:rsidRPr="00DB7230">
              <w:rPr>
                <w:rFonts w:ascii="Arial" w:hAnsi="Arial"/>
                <w:color w:val="000000"/>
                <w:sz w:val="22"/>
                <w:szCs w:val="22"/>
                <w:shd w:val="clear" w:color="auto" w:fill="FFFFFF"/>
              </w:rPr>
              <w:t>-</w:t>
            </w:r>
            <w:r w:rsidR="009E029F" w:rsidRPr="00DB7230">
              <w:rPr>
                <w:rFonts w:ascii="Arial" w:hAnsi="Arial"/>
                <w:color w:val="000000"/>
                <w:sz w:val="22"/>
                <w:szCs w:val="22"/>
                <w:shd w:val="clear" w:color="auto" w:fill="FFFFFF"/>
              </w:rPr>
              <w:t>issuance submission, third party submission, derivation proceeding or declaratory judgment action</w:t>
            </w:r>
            <w:r w:rsidR="00C01AEE" w:rsidRPr="00DB7230">
              <w:rPr>
                <w:rFonts w:ascii="Arial" w:hAnsi="Arial"/>
                <w:color w:val="000000"/>
                <w:sz w:val="22"/>
                <w:szCs w:val="22"/>
                <w:shd w:val="clear" w:color="auto" w:fill="FFFFFF"/>
              </w:rPr>
              <w:t xml:space="preserve">.  The </w:t>
            </w:r>
            <w:r w:rsidR="009E029F" w:rsidRPr="00DB7230">
              <w:rPr>
                <w:rFonts w:ascii="Arial" w:hAnsi="Arial"/>
                <w:color w:val="000000"/>
                <w:sz w:val="22"/>
                <w:szCs w:val="22"/>
                <w:shd w:val="clear" w:color="auto" w:fill="FFFFFF"/>
              </w:rPr>
              <w:t xml:space="preserve">term Patent Challenge </w:t>
            </w:r>
            <w:r w:rsidR="00AE7FD5" w:rsidRPr="00DB7230">
              <w:rPr>
                <w:rFonts w:ascii="Arial" w:hAnsi="Arial"/>
                <w:color w:val="000000"/>
                <w:sz w:val="22"/>
                <w:szCs w:val="22"/>
                <w:shd w:val="clear" w:color="auto" w:fill="FFFFFF"/>
              </w:rPr>
              <w:t>will</w:t>
            </w:r>
            <w:r w:rsidR="009E029F" w:rsidRPr="00DB7230">
              <w:rPr>
                <w:rFonts w:ascii="Arial" w:hAnsi="Arial"/>
                <w:color w:val="000000"/>
                <w:sz w:val="22"/>
                <w:szCs w:val="22"/>
                <w:shd w:val="clear" w:color="auto" w:fill="FFFFFF"/>
              </w:rPr>
              <w:t xml:space="preserve"> not include (i) Licensee being an essential party in any patent interference proceeding before the USPTO, which interference Licensee acts in good faith to try to settle, or (ii) Licensee, due to its status as an exclusive licensee of patent rights other than the Patent Rights, being named by the licensor of such patent rights as a real party in interest in such an interference, so long as Licensee either abstains from participation in, or acts in good faith to settle, the interference. </w:t>
            </w:r>
            <w:r w:rsidR="001A29C8" w:rsidRPr="00DB7230">
              <w:rPr>
                <w:rFonts w:ascii="Arial" w:hAnsi="Arial"/>
                <w:color w:val="000000"/>
                <w:sz w:val="22"/>
                <w:szCs w:val="22"/>
                <w:shd w:val="clear" w:color="auto" w:fill="FFFFFF"/>
              </w:rPr>
              <w:t xml:space="preserve"> A</w:t>
            </w:r>
            <w:r w:rsidR="009E029F" w:rsidRPr="00DB7230">
              <w:rPr>
                <w:rFonts w:ascii="Arial" w:hAnsi="Arial"/>
                <w:color w:val="000000"/>
                <w:sz w:val="22"/>
                <w:szCs w:val="22"/>
                <w:shd w:val="clear" w:color="auto" w:fill="FFFFFF"/>
              </w:rPr>
              <w:t xml:space="preserve"> Patent Challenge </w:t>
            </w:r>
            <w:r w:rsidR="00AE7FD5" w:rsidRPr="00DB7230">
              <w:rPr>
                <w:rFonts w:ascii="Arial" w:hAnsi="Arial"/>
                <w:color w:val="000000"/>
                <w:sz w:val="22"/>
                <w:szCs w:val="22"/>
                <w:shd w:val="clear" w:color="auto" w:fill="FFFFFF"/>
              </w:rPr>
              <w:t>will</w:t>
            </w:r>
            <w:r w:rsidR="009E029F" w:rsidRPr="00DB7230">
              <w:rPr>
                <w:rFonts w:ascii="Arial" w:hAnsi="Arial"/>
                <w:color w:val="000000"/>
                <w:sz w:val="22"/>
                <w:szCs w:val="22"/>
                <w:shd w:val="clear" w:color="auto" w:fill="FFFFFF"/>
              </w:rPr>
              <w:t xml:space="preserve"> not include arguments made by Licensee that (a) distinguish the inventions claimed in patents or patent applications owned or controlled by Licensee (“</w:t>
            </w:r>
            <w:r w:rsidR="009E029F" w:rsidRPr="00DB7230">
              <w:rPr>
                <w:rFonts w:ascii="Arial" w:hAnsi="Arial"/>
                <w:bCs w:val="0"/>
                <w:color w:val="000000"/>
                <w:sz w:val="22"/>
                <w:szCs w:val="22"/>
                <w:shd w:val="clear" w:color="auto" w:fill="FFFFFF"/>
              </w:rPr>
              <w:t>Licensee Patents</w:t>
            </w:r>
            <w:r w:rsidR="009E029F" w:rsidRPr="00DB7230">
              <w:rPr>
                <w:rFonts w:ascii="Arial" w:hAnsi="Arial"/>
                <w:color w:val="000000"/>
                <w:sz w:val="22"/>
                <w:szCs w:val="22"/>
                <w:shd w:val="clear" w:color="auto" w:fill="FFFFFF"/>
              </w:rPr>
              <w:t>”) from those claimed in the Patent Rights but (b) do not disparage the Patent Rights or raise any issue of Patent Rights’ compliance with or sufficiency under applicable patent laws, regulations or administrative rules, in each case (</w:t>
            </w:r>
            <w:r w:rsidR="008368C2" w:rsidRPr="00DB7230">
              <w:rPr>
                <w:rFonts w:ascii="Arial" w:hAnsi="Arial"/>
                <w:color w:val="000000"/>
                <w:sz w:val="22"/>
                <w:szCs w:val="22"/>
                <w:shd w:val="clear" w:color="auto" w:fill="FFFFFF"/>
              </w:rPr>
              <w:t>x</w:t>
            </w:r>
            <w:r w:rsidR="009E029F" w:rsidRPr="00DB7230">
              <w:rPr>
                <w:rFonts w:ascii="Arial" w:hAnsi="Arial"/>
                <w:color w:val="000000"/>
                <w:sz w:val="22"/>
                <w:szCs w:val="22"/>
                <w:shd w:val="clear" w:color="auto" w:fill="FFFFFF"/>
              </w:rPr>
              <w:t xml:space="preserve">) in the ordinary course of </w:t>
            </w:r>
            <w:r w:rsidR="009E029F" w:rsidRPr="00DB7230">
              <w:rPr>
                <w:rFonts w:ascii="Arial" w:hAnsi="Arial"/>
                <w:i/>
                <w:color w:val="000000"/>
                <w:sz w:val="22"/>
                <w:szCs w:val="22"/>
                <w:shd w:val="clear" w:color="auto" w:fill="FFFFFF"/>
              </w:rPr>
              <w:t xml:space="preserve">ex </w:t>
            </w:r>
            <w:proofErr w:type="spellStart"/>
            <w:r w:rsidR="009E029F" w:rsidRPr="00DB7230">
              <w:rPr>
                <w:rFonts w:ascii="Arial" w:hAnsi="Arial"/>
                <w:i/>
                <w:color w:val="000000"/>
                <w:sz w:val="22"/>
                <w:szCs w:val="22"/>
                <w:shd w:val="clear" w:color="auto" w:fill="FFFFFF"/>
              </w:rPr>
              <w:t>parte</w:t>
            </w:r>
            <w:proofErr w:type="spellEnd"/>
            <w:r w:rsidR="009E029F" w:rsidRPr="00DB7230">
              <w:rPr>
                <w:rFonts w:ascii="Arial" w:hAnsi="Arial"/>
                <w:color w:val="000000"/>
                <w:sz w:val="22"/>
                <w:szCs w:val="22"/>
                <w:shd w:val="clear" w:color="auto" w:fill="FFFFFF"/>
              </w:rPr>
              <w:t xml:space="preserve"> prosecution of the Licensee Patents or (</w:t>
            </w:r>
            <w:r w:rsidR="008368C2" w:rsidRPr="00DB7230">
              <w:rPr>
                <w:rFonts w:ascii="Arial" w:hAnsi="Arial"/>
                <w:color w:val="000000"/>
                <w:sz w:val="22"/>
                <w:szCs w:val="22"/>
                <w:shd w:val="clear" w:color="auto" w:fill="FFFFFF"/>
              </w:rPr>
              <w:t>y</w:t>
            </w:r>
            <w:r w:rsidR="009E029F" w:rsidRPr="00DB7230">
              <w:rPr>
                <w:rFonts w:ascii="Arial" w:hAnsi="Arial"/>
                <w:color w:val="000000"/>
                <w:sz w:val="22"/>
                <w:szCs w:val="22"/>
                <w:shd w:val="clear" w:color="auto" w:fill="FFFFFF"/>
              </w:rPr>
              <w:t xml:space="preserve">) in </w:t>
            </w:r>
            <w:r w:rsidR="009E029F" w:rsidRPr="00DB7230">
              <w:rPr>
                <w:rFonts w:ascii="Arial" w:hAnsi="Arial"/>
                <w:i/>
                <w:color w:val="000000"/>
                <w:sz w:val="22"/>
                <w:szCs w:val="22"/>
                <w:u w:val="single"/>
                <w:shd w:val="clear" w:color="auto" w:fill="FFFFFF"/>
              </w:rPr>
              <w:t>inter partes</w:t>
            </w:r>
            <w:r w:rsidR="009E029F" w:rsidRPr="00DB7230">
              <w:rPr>
                <w:rFonts w:ascii="Arial" w:hAnsi="Arial"/>
                <w:color w:val="000000"/>
                <w:sz w:val="22"/>
                <w:szCs w:val="22"/>
                <w:shd w:val="clear" w:color="auto" w:fill="FFFFFF"/>
              </w:rPr>
              <w:t xml:space="preserve"> proceedings before the USPTO or other agency or tribunal in any jurisdiction (excluding interferences or derivation proceedings), or in arbitration, wherein the Licensee Patents have been challenged.</w:t>
            </w:r>
          </w:p>
        </w:tc>
      </w:tr>
      <w:tr w:rsidR="00F25771" w:rsidRPr="00DB7230" w14:paraId="572C9A35" w14:textId="77777777" w:rsidTr="6C4217BD">
        <w:trPr>
          <w:jc w:val="center"/>
        </w:trPr>
        <w:tc>
          <w:tcPr>
            <w:tcW w:w="2470" w:type="dxa"/>
          </w:tcPr>
          <w:p w14:paraId="000000C7" w14:textId="1D1E7425" w:rsidR="00F25771" w:rsidRPr="00DB7230" w:rsidRDefault="00C5140E" w:rsidP="00F25771">
            <w:pPr>
              <w:tabs>
                <w:tab w:val="left" w:pos="-720"/>
              </w:tabs>
              <w:spacing w:before="96" w:after="96"/>
              <w:rPr>
                <w:rFonts w:ascii="Arial" w:hAnsi="Arial" w:cs="Arial"/>
                <w:b/>
                <w:sz w:val="22"/>
                <w:szCs w:val="22"/>
              </w:rPr>
            </w:pPr>
            <w:r w:rsidRPr="00DB7230">
              <w:rPr>
                <w:rFonts w:ascii="Arial" w:hAnsi="Arial" w:cs="Arial"/>
                <w:b/>
                <w:sz w:val="22"/>
                <w:szCs w:val="22"/>
              </w:rPr>
              <w:t>“</w:t>
            </w:r>
            <w:r w:rsidR="00F25771" w:rsidRPr="00DB7230">
              <w:rPr>
                <w:rFonts w:ascii="Arial" w:hAnsi="Arial" w:cs="Arial"/>
                <w:b/>
                <w:sz w:val="22"/>
                <w:szCs w:val="22"/>
              </w:rPr>
              <w:t>Patent Products</w:t>
            </w:r>
            <w:r w:rsidRPr="00DB7230">
              <w:rPr>
                <w:rFonts w:ascii="Arial" w:hAnsi="Arial" w:cs="Arial"/>
                <w:b/>
                <w:sz w:val="22"/>
                <w:szCs w:val="22"/>
              </w:rPr>
              <w:t>”</w:t>
            </w:r>
          </w:p>
        </w:tc>
        <w:tc>
          <w:tcPr>
            <w:tcW w:w="12150" w:type="dxa"/>
          </w:tcPr>
          <w:p w14:paraId="000000C8" w14:textId="18E18AA4" w:rsidR="00F25771" w:rsidRPr="00DB7230" w:rsidRDefault="00F25771" w:rsidP="00F04CF4">
            <w:pPr>
              <w:pStyle w:val="Heading2"/>
              <w:keepNext w:val="0"/>
              <w:numPr>
                <w:ilvl w:val="0"/>
                <w:numId w:val="0"/>
              </w:numPr>
              <w:tabs>
                <w:tab w:val="left" w:pos="-720"/>
                <w:tab w:val="left" w:pos="9516"/>
              </w:tabs>
              <w:spacing w:before="0" w:after="96"/>
              <w:rPr>
                <w:rFonts w:ascii="Arial" w:hAnsi="Arial"/>
                <w:sz w:val="22"/>
                <w:szCs w:val="22"/>
              </w:rPr>
            </w:pPr>
            <w:r w:rsidRPr="00DB7230">
              <w:rPr>
                <w:rFonts w:ascii="Arial" w:hAnsi="Arial"/>
                <w:sz w:val="22"/>
                <w:szCs w:val="22"/>
              </w:rPr>
              <w:t xml:space="preserve">means any product, method, or service that is Covered by a Valid Claim. </w:t>
            </w:r>
            <w:r w:rsidRPr="00DB7230">
              <w:rPr>
                <w:rFonts w:ascii="Arial" w:hAnsi="Arial"/>
                <w:sz w:val="22"/>
                <w:szCs w:val="22"/>
              </w:rPr>
              <w:tab/>
            </w:r>
          </w:p>
        </w:tc>
      </w:tr>
      <w:tr w:rsidR="00EB6195" w:rsidRPr="00DB7230" w14:paraId="0722A548" w14:textId="77777777" w:rsidTr="6C4217BD">
        <w:trPr>
          <w:jc w:val="center"/>
        </w:trPr>
        <w:tc>
          <w:tcPr>
            <w:tcW w:w="2470" w:type="dxa"/>
          </w:tcPr>
          <w:p w14:paraId="64FA9642" w14:textId="21134D37" w:rsidR="00EB6195" w:rsidRPr="00DB7230" w:rsidRDefault="00EB6195" w:rsidP="00F25771">
            <w:pPr>
              <w:tabs>
                <w:tab w:val="left" w:pos="-720"/>
              </w:tabs>
              <w:spacing w:before="96" w:after="96"/>
              <w:rPr>
                <w:rFonts w:ascii="Arial" w:hAnsi="Arial" w:cs="Arial"/>
                <w:b/>
                <w:sz w:val="22"/>
                <w:szCs w:val="22"/>
              </w:rPr>
            </w:pPr>
            <w:r>
              <w:rPr>
                <w:rFonts w:ascii="Arial" w:hAnsi="Arial" w:cs="Arial"/>
                <w:b/>
                <w:sz w:val="22"/>
                <w:szCs w:val="22"/>
              </w:rPr>
              <w:t>“Person”</w:t>
            </w:r>
          </w:p>
        </w:tc>
        <w:tc>
          <w:tcPr>
            <w:tcW w:w="12150" w:type="dxa"/>
          </w:tcPr>
          <w:p w14:paraId="7C634388" w14:textId="737EB987" w:rsidR="00EB6195" w:rsidRPr="00DB7230" w:rsidRDefault="00EB6195" w:rsidP="00F04CF4">
            <w:pPr>
              <w:pStyle w:val="Heading2"/>
              <w:keepNext w:val="0"/>
              <w:numPr>
                <w:ilvl w:val="0"/>
                <w:numId w:val="0"/>
              </w:numPr>
              <w:tabs>
                <w:tab w:val="left" w:pos="-720"/>
                <w:tab w:val="left" w:pos="9516"/>
              </w:tabs>
              <w:spacing w:before="0" w:after="96"/>
              <w:rPr>
                <w:rFonts w:ascii="Arial" w:hAnsi="Arial"/>
                <w:sz w:val="22"/>
                <w:szCs w:val="22"/>
              </w:rPr>
            </w:pPr>
            <w:r>
              <w:rPr>
                <w:rFonts w:ascii="Arial" w:hAnsi="Arial"/>
                <w:sz w:val="22"/>
                <w:szCs w:val="22"/>
              </w:rPr>
              <w:t>means an individual, sole proprietorship, partnership, limited partnership, limited liability partnership, corporation, limited liability company, business trust, joint stock company, trust, incorporated association</w:t>
            </w:r>
            <w:r w:rsidR="00226C5F">
              <w:rPr>
                <w:rFonts w:ascii="Arial" w:hAnsi="Arial"/>
                <w:sz w:val="22"/>
                <w:szCs w:val="22"/>
              </w:rPr>
              <w:t>, joint venture, or similar entity or organization, including a government or political subdivision or department or agency of a government.</w:t>
            </w:r>
          </w:p>
        </w:tc>
      </w:tr>
      <w:tr w:rsidR="001C0D79" w:rsidRPr="00DB7230" w14:paraId="4F0306A7" w14:textId="77777777" w:rsidTr="00937699">
        <w:trPr>
          <w:jc w:val="center"/>
        </w:trPr>
        <w:tc>
          <w:tcPr>
            <w:tcW w:w="2470" w:type="dxa"/>
          </w:tcPr>
          <w:p w14:paraId="0A9B6704" w14:textId="7DE21026" w:rsidR="001C0D79" w:rsidRPr="00DB7230" w:rsidRDefault="001C0D79" w:rsidP="00F25771">
            <w:pPr>
              <w:tabs>
                <w:tab w:val="left" w:pos="-720"/>
              </w:tabs>
              <w:spacing w:before="96" w:after="96"/>
              <w:rPr>
                <w:rFonts w:ascii="Arial" w:hAnsi="Arial" w:cs="Arial"/>
                <w:b/>
                <w:sz w:val="22"/>
                <w:szCs w:val="22"/>
              </w:rPr>
            </w:pPr>
            <w:r w:rsidRPr="00DB7230">
              <w:rPr>
                <w:rFonts w:ascii="Arial" w:hAnsi="Arial" w:cs="Arial"/>
                <w:b/>
                <w:sz w:val="22"/>
                <w:szCs w:val="22"/>
              </w:rPr>
              <w:t>“Regulatory Exclusivity”</w:t>
            </w:r>
          </w:p>
        </w:tc>
        <w:tc>
          <w:tcPr>
            <w:tcW w:w="12150" w:type="dxa"/>
            <w:shd w:val="clear" w:color="auto" w:fill="auto"/>
          </w:tcPr>
          <w:p w14:paraId="06CBAEF1" w14:textId="09B45BE3" w:rsidR="001C0D79" w:rsidRPr="00DB7230" w:rsidRDefault="001C0D79" w:rsidP="00F04CF4">
            <w:pPr>
              <w:tabs>
                <w:tab w:val="left" w:pos="-720"/>
              </w:tabs>
              <w:spacing w:after="48"/>
              <w:rPr>
                <w:rFonts w:ascii="Arial" w:hAnsi="Arial" w:cs="Arial"/>
                <w:sz w:val="22"/>
                <w:szCs w:val="22"/>
              </w:rPr>
            </w:pPr>
            <w:r w:rsidRPr="00DB7230">
              <w:rPr>
                <w:rFonts w:ascii="Arial" w:hAnsi="Arial" w:cs="Arial"/>
                <w:color w:val="202124"/>
                <w:sz w:val="22"/>
                <w:szCs w:val="22"/>
                <w:shd w:val="clear" w:color="auto" w:fill="FFFFFF"/>
              </w:rPr>
              <w:t xml:space="preserve">means any exclusive marketing rights or data exclusivity rights conferred by any </w:t>
            </w:r>
            <w:r w:rsidR="00B302B4" w:rsidRPr="00DB7230">
              <w:rPr>
                <w:rFonts w:ascii="Arial" w:hAnsi="Arial" w:cs="Arial"/>
                <w:color w:val="202124"/>
                <w:sz w:val="22"/>
                <w:szCs w:val="22"/>
                <w:shd w:val="clear" w:color="auto" w:fill="FFFFFF"/>
              </w:rPr>
              <w:t>r</w:t>
            </w:r>
            <w:r w:rsidRPr="00DB7230">
              <w:rPr>
                <w:rFonts w:ascii="Arial" w:hAnsi="Arial" w:cs="Arial"/>
                <w:color w:val="202124"/>
                <w:sz w:val="22"/>
                <w:szCs w:val="22"/>
                <w:shd w:val="clear" w:color="auto" w:fill="FFFFFF"/>
              </w:rPr>
              <w:t xml:space="preserve">egulatory </w:t>
            </w:r>
            <w:r w:rsidR="00B302B4" w:rsidRPr="00DB7230">
              <w:rPr>
                <w:rFonts w:ascii="Arial" w:hAnsi="Arial" w:cs="Arial"/>
                <w:color w:val="202124"/>
                <w:sz w:val="22"/>
                <w:szCs w:val="22"/>
                <w:shd w:val="clear" w:color="auto" w:fill="FFFFFF"/>
              </w:rPr>
              <w:t>a</w:t>
            </w:r>
            <w:r w:rsidRPr="00DB7230">
              <w:rPr>
                <w:rFonts w:ascii="Arial" w:hAnsi="Arial" w:cs="Arial"/>
                <w:color w:val="202124"/>
                <w:sz w:val="22"/>
                <w:szCs w:val="22"/>
                <w:shd w:val="clear" w:color="auto" w:fill="FFFFFF"/>
              </w:rPr>
              <w:t>uthority with respect to a pharmaceutical product other than Patents, including orphan drug exclusivity, new chemical entity exclusivity data exclusivity, or pediatric exclusivity.</w:t>
            </w:r>
          </w:p>
        </w:tc>
      </w:tr>
      <w:tr w:rsidR="00F25771" w:rsidRPr="00DB7230" w14:paraId="3B14341B" w14:textId="77777777" w:rsidTr="6C4217BD">
        <w:trPr>
          <w:jc w:val="center"/>
        </w:trPr>
        <w:tc>
          <w:tcPr>
            <w:tcW w:w="2470" w:type="dxa"/>
          </w:tcPr>
          <w:p w14:paraId="000000CB" w14:textId="529AFCA0" w:rsidR="00F25771" w:rsidRPr="00DB7230" w:rsidRDefault="00C5140E" w:rsidP="00F25771">
            <w:pPr>
              <w:tabs>
                <w:tab w:val="left" w:pos="-720"/>
              </w:tabs>
              <w:spacing w:before="96" w:after="96"/>
              <w:rPr>
                <w:rFonts w:ascii="Arial" w:hAnsi="Arial" w:cs="Arial"/>
                <w:b/>
                <w:sz w:val="22"/>
                <w:szCs w:val="22"/>
              </w:rPr>
            </w:pPr>
            <w:r w:rsidRPr="00DB7230">
              <w:rPr>
                <w:rFonts w:ascii="Arial" w:hAnsi="Arial" w:cs="Arial"/>
                <w:b/>
                <w:sz w:val="22"/>
                <w:szCs w:val="22"/>
              </w:rPr>
              <w:t>“</w:t>
            </w:r>
            <w:r w:rsidR="00F25771" w:rsidRPr="00DB7230">
              <w:rPr>
                <w:rFonts w:ascii="Arial" w:hAnsi="Arial" w:cs="Arial"/>
                <w:b/>
                <w:sz w:val="22"/>
                <w:szCs w:val="22"/>
              </w:rPr>
              <w:t>Selling Party</w:t>
            </w:r>
            <w:r w:rsidRPr="00DB7230">
              <w:rPr>
                <w:rFonts w:ascii="Arial" w:hAnsi="Arial" w:cs="Arial"/>
                <w:b/>
                <w:sz w:val="22"/>
                <w:szCs w:val="22"/>
              </w:rPr>
              <w:t>”</w:t>
            </w:r>
          </w:p>
        </w:tc>
        <w:tc>
          <w:tcPr>
            <w:tcW w:w="12150" w:type="dxa"/>
          </w:tcPr>
          <w:p w14:paraId="000000CC" w14:textId="416DDC7F" w:rsidR="00F25771" w:rsidRPr="00DB7230" w:rsidRDefault="00F25771" w:rsidP="00F04CF4">
            <w:pPr>
              <w:tabs>
                <w:tab w:val="left" w:pos="-720"/>
              </w:tabs>
              <w:spacing w:after="48"/>
              <w:rPr>
                <w:rFonts w:ascii="Arial" w:hAnsi="Arial" w:cs="Arial"/>
                <w:sz w:val="22"/>
                <w:szCs w:val="22"/>
              </w:rPr>
            </w:pPr>
            <w:r w:rsidRPr="00DB7230">
              <w:rPr>
                <w:rFonts w:ascii="Arial" w:hAnsi="Arial" w:cs="Arial"/>
                <w:sz w:val="22"/>
                <w:szCs w:val="22"/>
              </w:rPr>
              <w:t>means either Licensee or Sublicensee, as the case may be.</w:t>
            </w:r>
          </w:p>
        </w:tc>
      </w:tr>
      <w:tr w:rsidR="00F25771" w:rsidRPr="00DB7230" w14:paraId="111FC23C" w14:textId="77777777" w:rsidTr="6C4217BD">
        <w:trPr>
          <w:jc w:val="center"/>
        </w:trPr>
        <w:tc>
          <w:tcPr>
            <w:tcW w:w="2470" w:type="dxa"/>
          </w:tcPr>
          <w:p w14:paraId="000000CD" w14:textId="7B8B90CB" w:rsidR="00F25771" w:rsidRPr="00DB7230" w:rsidRDefault="00C5140E" w:rsidP="00F25771">
            <w:pPr>
              <w:tabs>
                <w:tab w:val="left" w:pos="-720"/>
              </w:tabs>
              <w:spacing w:before="48" w:after="48"/>
              <w:rPr>
                <w:rFonts w:ascii="Arial" w:hAnsi="Arial" w:cs="Arial"/>
                <w:b/>
                <w:sz w:val="22"/>
                <w:szCs w:val="22"/>
              </w:rPr>
            </w:pPr>
            <w:r w:rsidRPr="00DB7230">
              <w:rPr>
                <w:rFonts w:ascii="Arial" w:hAnsi="Arial" w:cs="Arial"/>
                <w:b/>
                <w:sz w:val="22"/>
                <w:szCs w:val="22"/>
              </w:rPr>
              <w:lastRenderedPageBreak/>
              <w:t>“</w:t>
            </w:r>
            <w:r w:rsidR="00F25771" w:rsidRPr="00DB7230">
              <w:rPr>
                <w:rFonts w:ascii="Arial" w:hAnsi="Arial" w:cs="Arial"/>
                <w:b/>
                <w:sz w:val="22"/>
                <w:szCs w:val="22"/>
              </w:rPr>
              <w:t>Sublicense</w:t>
            </w:r>
            <w:r w:rsidRPr="00DB7230">
              <w:rPr>
                <w:rFonts w:ascii="Arial" w:hAnsi="Arial" w:cs="Arial"/>
                <w:b/>
                <w:sz w:val="22"/>
                <w:szCs w:val="22"/>
              </w:rPr>
              <w:t>”</w:t>
            </w:r>
          </w:p>
        </w:tc>
        <w:tc>
          <w:tcPr>
            <w:tcW w:w="12150" w:type="dxa"/>
          </w:tcPr>
          <w:p w14:paraId="000000CE" w14:textId="7208841F" w:rsidR="00F25771" w:rsidRPr="00DB7230" w:rsidRDefault="00F25771" w:rsidP="00F04CF4">
            <w:pPr>
              <w:pStyle w:val="Heading2"/>
              <w:keepNext w:val="0"/>
              <w:numPr>
                <w:ilvl w:val="0"/>
                <w:numId w:val="0"/>
              </w:numPr>
              <w:tabs>
                <w:tab w:val="left" w:pos="-720"/>
              </w:tabs>
              <w:spacing w:before="0" w:after="48"/>
              <w:rPr>
                <w:rFonts w:ascii="Arial" w:hAnsi="Arial"/>
                <w:sz w:val="22"/>
                <w:szCs w:val="22"/>
              </w:rPr>
            </w:pPr>
            <w:bookmarkStart w:id="5" w:name="_heading=h.ciu4z983sddf" w:colFirst="0" w:colLast="0"/>
            <w:bookmarkStart w:id="6" w:name="_Hlk117082842"/>
            <w:bookmarkEnd w:id="5"/>
            <w:r w:rsidRPr="00DB7230">
              <w:rPr>
                <w:rFonts w:ascii="Arial" w:hAnsi="Arial"/>
                <w:sz w:val="22"/>
                <w:szCs w:val="22"/>
              </w:rPr>
              <w:t xml:space="preserve">means any agreement under which Licensee grants any of the rights </w:t>
            </w:r>
            <w:r w:rsidR="005B4F42" w:rsidRPr="00DB7230">
              <w:rPr>
                <w:rFonts w:ascii="Arial" w:hAnsi="Arial"/>
                <w:sz w:val="22"/>
                <w:szCs w:val="22"/>
              </w:rPr>
              <w:t xml:space="preserve">to Licensed Technology </w:t>
            </w:r>
            <w:r w:rsidR="003130BA" w:rsidRPr="00DB7230">
              <w:rPr>
                <w:rFonts w:ascii="Arial" w:hAnsi="Arial"/>
                <w:sz w:val="22"/>
                <w:szCs w:val="22"/>
              </w:rPr>
              <w:t xml:space="preserve">or Licensed Products </w:t>
            </w:r>
            <w:r w:rsidRPr="00DB7230">
              <w:rPr>
                <w:rFonts w:ascii="Arial" w:hAnsi="Arial"/>
                <w:sz w:val="22"/>
                <w:szCs w:val="22"/>
              </w:rPr>
              <w:t xml:space="preserve">granted to Licensee under the License Agreement, including, without limitation, any option for such rights.  </w:t>
            </w:r>
            <w:bookmarkEnd w:id="6"/>
          </w:p>
        </w:tc>
      </w:tr>
      <w:tr w:rsidR="00F25771" w:rsidRPr="00DB7230" w14:paraId="0A6B23C9" w14:textId="77777777" w:rsidTr="6C4217BD">
        <w:trPr>
          <w:jc w:val="center"/>
        </w:trPr>
        <w:tc>
          <w:tcPr>
            <w:tcW w:w="2470" w:type="dxa"/>
          </w:tcPr>
          <w:p w14:paraId="000000CF" w14:textId="4A74B610" w:rsidR="00F25771" w:rsidRPr="00DB7230" w:rsidRDefault="00C5140E" w:rsidP="00F25771">
            <w:pPr>
              <w:tabs>
                <w:tab w:val="left" w:pos="-720"/>
              </w:tabs>
              <w:spacing w:before="48" w:after="48"/>
              <w:rPr>
                <w:rFonts w:ascii="Arial" w:hAnsi="Arial" w:cs="Arial"/>
                <w:b/>
                <w:sz w:val="22"/>
                <w:szCs w:val="22"/>
              </w:rPr>
            </w:pPr>
            <w:r w:rsidRPr="00DB7230">
              <w:rPr>
                <w:rFonts w:ascii="Arial" w:hAnsi="Arial" w:cs="Arial"/>
                <w:b/>
                <w:sz w:val="22"/>
                <w:szCs w:val="22"/>
              </w:rPr>
              <w:t>“</w:t>
            </w:r>
            <w:r w:rsidR="00F25771" w:rsidRPr="00DB7230">
              <w:rPr>
                <w:rFonts w:ascii="Arial" w:hAnsi="Arial" w:cs="Arial"/>
                <w:b/>
                <w:sz w:val="22"/>
                <w:szCs w:val="22"/>
              </w:rPr>
              <w:t>Sublicensee</w:t>
            </w:r>
            <w:r w:rsidRPr="00DB7230">
              <w:rPr>
                <w:rFonts w:ascii="Arial" w:hAnsi="Arial" w:cs="Arial"/>
                <w:b/>
                <w:sz w:val="22"/>
                <w:szCs w:val="22"/>
              </w:rPr>
              <w:t>”</w:t>
            </w:r>
          </w:p>
        </w:tc>
        <w:tc>
          <w:tcPr>
            <w:tcW w:w="12150" w:type="dxa"/>
          </w:tcPr>
          <w:p w14:paraId="000000D0" w14:textId="41BF4558" w:rsidR="00F25771" w:rsidRPr="00DB7230" w:rsidRDefault="00F25771" w:rsidP="00DD7E6E">
            <w:pPr>
              <w:pStyle w:val="Heading2"/>
              <w:keepNext w:val="0"/>
              <w:numPr>
                <w:ilvl w:val="0"/>
                <w:numId w:val="0"/>
              </w:numPr>
              <w:tabs>
                <w:tab w:val="left" w:pos="-720"/>
              </w:tabs>
              <w:spacing w:before="48" w:after="48"/>
              <w:rPr>
                <w:rFonts w:ascii="Arial" w:hAnsi="Arial"/>
                <w:sz w:val="22"/>
                <w:szCs w:val="22"/>
              </w:rPr>
            </w:pPr>
            <w:r w:rsidRPr="00DB7230">
              <w:rPr>
                <w:rFonts w:ascii="Arial" w:hAnsi="Arial"/>
                <w:sz w:val="22"/>
                <w:szCs w:val="22"/>
              </w:rPr>
              <w:t xml:space="preserve">means any </w:t>
            </w:r>
            <w:r w:rsidR="00EB6195">
              <w:rPr>
                <w:rFonts w:ascii="Arial" w:hAnsi="Arial"/>
                <w:sz w:val="22"/>
                <w:szCs w:val="22"/>
              </w:rPr>
              <w:t>P</w:t>
            </w:r>
            <w:r w:rsidRPr="00DB7230">
              <w:rPr>
                <w:rFonts w:ascii="Arial" w:hAnsi="Arial"/>
                <w:sz w:val="22"/>
                <w:szCs w:val="22"/>
              </w:rPr>
              <w:t>erson that is granted a Sublicense.</w:t>
            </w:r>
          </w:p>
        </w:tc>
      </w:tr>
      <w:tr w:rsidR="00F25771" w:rsidRPr="00DB7230" w14:paraId="36A4D7C5" w14:textId="77777777" w:rsidTr="6C4217BD">
        <w:trPr>
          <w:jc w:val="center"/>
        </w:trPr>
        <w:tc>
          <w:tcPr>
            <w:tcW w:w="2470" w:type="dxa"/>
          </w:tcPr>
          <w:p w14:paraId="000000D1" w14:textId="42A2F28A" w:rsidR="00F25771" w:rsidRPr="00DB7230" w:rsidRDefault="00C5140E" w:rsidP="00F25771">
            <w:pPr>
              <w:tabs>
                <w:tab w:val="left" w:pos="-720"/>
              </w:tabs>
              <w:spacing w:before="48" w:after="48"/>
              <w:rPr>
                <w:rFonts w:ascii="Arial" w:hAnsi="Arial" w:cs="Arial"/>
                <w:b/>
                <w:sz w:val="22"/>
                <w:szCs w:val="22"/>
              </w:rPr>
            </w:pPr>
            <w:r w:rsidRPr="00DB7230">
              <w:rPr>
                <w:rFonts w:ascii="Arial" w:hAnsi="Arial" w:cs="Arial"/>
                <w:b/>
                <w:sz w:val="22"/>
                <w:szCs w:val="22"/>
              </w:rPr>
              <w:t>“</w:t>
            </w:r>
            <w:r w:rsidR="00F25771" w:rsidRPr="00DB7230">
              <w:rPr>
                <w:rFonts w:ascii="Arial" w:hAnsi="Arial" w:cs="Arial"/>
                <w:b/>
                <w:sz w:val="22"/>
                <w:szCs w:val="22"/>
              </w:rPr>
              <w:t>Sublicensing Income</w:t>
            </w:r>
            <w:r w:rsidRPr="00DB7230">
              <w:rPr>
                <w:rFonts w:ascii="Arial" w:hAnsi="Arial" w:cs="Arial"/>
                <w:b/>
                <w:sz w:val="22"/>
                <w:szCs w:val="22"/>
              </w:rPr>
              <w:t>”</w:t>
            </w:r>
          </w:p>
        </w:tc>
        <w:tc>
          <w:tcPr>
            <w:tcW w:w="12150" w:type="dxa"/>
          </w:tcPr>
          <w:p w14:paraId="000000D2" w14:textId="61D4297E" w:rsidR="00F25771" w:rsidRPr="00DB7230" w:rsidRDefault="00F25771" w:rsidP="00F25771">
            <w:pPr>
              <w:rPr>
                <w:rFonts w:ascii="Arial" w:hAnsi="Arial" w:cs="Arial"/>
                <w:sz w:val="22"/>
                <w:szCs w:val="22"/>
              </w:rPr>
            </w:pPr>
            <w:bookmarkStart w:id="7" w:name="_heading=h.91t6yg9jxq42" w:colFirst="0" w:colLast="0"/>
            <w:bookmarkEnd w:id="7"/>
            <w:r w:rsidRPr="00DB7230">
              <w:rPr>
                <w:rFonts w:ascii="Arial" w:hAnsi="Arial" w:cs="Arial"/>
                <w:sz w:val="22"/>
                <w:szCs w:val="22"/>
              </w:rPr>
              <w:t>means any</w:t>
            </w:r>
            <w:r w:rsidRPr="00DB7230">
              <w:rPr>
                <w:rFonts w:ascii="Arial" w:hAnsi="Arial" w:cs="Arial"/>
                <w:b/>
                <w:sz w:val="22"/>
                <w:szCs w:val="22"/>
              </w:rPr>
              <w:t xml:space="preserve"> </w:t>
            </w:r>
            <w:r w:rsidR="00577054" w:rsidRPr="00DB7230">
              <w:rPr>
                <w:rFonts w:ascii="Arial" w:hAnsi="Arial" w:cs="Arial"/>
                <w:bCs/>
                <w:sz w:val="22"/>
                <w:szCs w:val="22"/>
              </w:rPr>
              <w:t xml:space="preserve">cash or equity </w:t>
            </w:r>
            <w:r w:rsidRPr="00DB7230">
              <w:rPr>
                <w:rFonts w:ascii="Arial" w:hAnsi="Arial" w:cs="Arial"/>
                <w:sz w:val="22"/>
                <w:szCs w:val="22"/>
              </w:rPr>
              <w:t>consideration received by Licensee from a Sublicensee in consideration of the grant of a Sublicense under the Licensed Technology, including any license fee, license maintenance fee, option fee, milestone payments, and annual fees in excess of earned royalties, but excluding (a) royalties paid by a Sublicensee, (b) equity or debt investments in, or loan proceeds to, Licensee, (c) payments by Sublicensees for payment or reimbursement of patent prosecution, defense, enforcement and maintenance and other related expenses, (d) payments by Sublicensees for bona fide research, development, manufacturing or commercialization activities (including, without limitation, payments for FTEs)</w:t>
            </w:r>
            <w:r w:rsidRPr="00DB7230">
              <w:rPr>
                <w:rFonts w:ascii="Arial" w:hAnsi="Arial" w:cs="Arial"/>
                <w:sz w:val="22"/>
                <w:szCs w:val="22"/>
                <w:vertAlign w:val="superscript"/>
              </w:rPr>
              <w:footnoteReference w:id="44"/>
            </w:r>
            <w:r w:rsidRPr="00DB7230">
              <w:rPr>
                <w:rFonts w:ascii="Arial" w:hAnsi="Arial" w:cs="Arial"/>
                <w:sz w:val="22"/>
                <w:szCs w:val="22"/>
              </w:rPr>
              <w:t xml:space="preserve">, (e) Development Milestone Payments, </w:t>
            </w:r>
            <w:r w:rsidR="00F110E9" w:rsidRPr="00DB7230">
              <w:rPr>
                <w:rFonts w:ascii="Arial" w:hAnsi="Arial" w:cs="Arial"/>
                <w:sz w:val="22"/>
                <w:szCs w:val="22"/>
              </w:rPr>
              <w:t>(f)</w:t>
            </w:r>
            <w:r w:rsidRPr="00DB7230">
              <w:rPr>
                <w:rFonts w:ascii="Arial" w:hAnsi="Arial" w:cs="Arial"/>
                <w:sz w:val="22"/>
                <w:szCs w:val="22"/>
              </w:rPr>
              <w:t xml:space="preserve"> any profit share for any product</w:t>
            </w:r>
            <w:r w:rsidR="00F110E9" w:rsidRPr="00DB7230">
              <w:rPr>
                <w:rFonts w:ascii="Arial" w:hAnsi="Arial" w:cs="Arial"/>
                <w:sz w:val="22"/>
                <w:szCs w:val="22"/>
              </w:rPr>
              <w:t>, and (g) payment received in</w:t>
            </w:r>
            <w:r w:rsidR="00226C5F">
              <w:rPr>
                <w:rFonts w:ascii="Arial" w:hAnsi="Arial" w:cs="Arial"/>
                <w:sz w:val="22"/>
                <w:szCs w:val="22"/>
              </w:rPr>
              <w:t xml:space="preserve"> connection with</w:t>
            </w:r>
            <w:r w:rsidR="00F110E9" w:rsidRPr="00DB7230">
              <w:rPr>
                <w:rFonts w:ascii="Arial" w:hAnsi="Arial" w:cs="Arial"/>
                <w:sz w:val="22"/>
                <w:szCs w:val="22"/>
              </w:rPr>
              <w:t xml:space="preserve"> a transaction that constitutes a </w:t>
            </w:r>
            <w:r w:rsidR="003D658B" w:rsidRPr="00DB7230">
              <w:rPr>
                <w:rFonts w:ascii="Arial" w:hAnsi="Arial" w:cs="Arial"/>
                <w:sz w:val="22"/>
                <w:szCs w:val="22"/>
              </w:rPr>
              <w:t xml:space="preserve">Change </w:t>
            </w:r>
            <w:r w:rsidR="00F110E9" w:rsidRPr="00DB7230">
              <w:rPr>
                <w:rFonts w:ascii="Arial" w:hAnsi="Arial" w:cs="Arial"/>
                <w:sz w:val="22"/>
                <w:szCs w:val="22"/>
              </w:rPr>
              <w:t xml:space="preserve">of </w:t>
            </w:r>
            <w:r w:rsidR="003D658B" w:rsidRPr="00DB7230">
              <w:rPr>
                <w:rFonts w:ascii="Arial" w:hAnsi="Arial" w:cs="Arial"/>
                <w:sz w:val="22"/>
                <w:szCs w:val="22"/>
              </w:rPr>
              <w:t xml:space="preserve">Control </w:t>
            </w:r>
            <w:r w:rsidR="00226C5F">
              <w:rPr>
                <w:rFonts w:ascii="Arial" w:hAnsi="Arial" w:cs="Arial"/>
                <w:sz w:val="22"/>
                <w:szCs w:val="22"/>
              </w:rPr>
              <w:t>or an option to consummate a Change of Control</w:t>
            </w:r>
            <w:r w:rsidR="00670E2F" w:rsidRPr="00DB7230">
              <w:rPr>
                <w:rFonts w:ascii="Arial" w:hAnsi="Arial" w:cs="Arial"/>
                <w:sz w:val="22"/>
                <w:szCs w:val="22"/>
              </w:rPr>
              <w:t>.</w:t>
            </w:r>
            <w:r w:rsidR="00F110E9" w:rsidRPr="00DB7230">
              <w:rPr>
                <w:rFonts w:ascii="Arial" w:hAnsi="Arial" w:cs="Arial"/>
                <w:sz w:val="22"/>
                <w:szCs w:val="22"/>
              </w:rPr>
              <w:t xml:space="preserve"> </w:t>
            </w:r>
          </w:p>
          <w:p w14:paraId="000000D3" w14:textId="69934738" w:rsidR="00F25771" w:rsidRPr="00DB7230" w:rsidRDefault="00F110E9" w:rsidP="00DC7F02">
            <w:pPr>
              <w:rPr>
                <w:rFonts w:ascii="Arial" w:hAnsi="Arial" w:cs="Arial"/>
                <w:sz w:val="22"/>
                <w:szCs w:val="22"/>
              </w:rPr>
            </w:pPr>
            <w:r w:rsidRPr="00DB7230">
              <w:rPr>
                <w:rFonts w:ascii="Arial" w:hAnsi="Arial" w:cs="Arial"/>
                <w:sz w:val="22"/>
                <w:szCs w:val="22"/>
              </w:rPr>
              <w:t xml:space="preserve">Notwithstanding the foregoing, if Licensee receives Sublicensing Income with respect to a Sublicensee’s achievement of any </w:t>
            </w:r>
            <w:r w:rsidR="00DC7F02" w:rsidRPr="00DB7230">
              <w:rPr>
                <w:rFonts w:ascii="Arial" w:hAnsi="Arial" w:cs="Arial"/>
                <w:sz w:val="22"/>
                <w:szCs w:val="22"/>
              </w:rPr>
              <w:t>m</w:t>
            </w:r>
            <w:r w:rsidRPr="00DB7230">
              <w:rPr>
                <w:rFonts w:ascii="Arial" w:hAnsi="Arial" w:cs="Arial"/>
                <w:sz w:val="22"/>
                <w:szCs w:val="22"/>
              </w:rPr>
              <w:t xml:space="preserve">ilestone </w:t>
            </w:r>
            <w:r w:rsidR="00DC7F02" w:rsidRPr="00DB7230">
              <w:rPr>
                <w:rFonts w:ascii="Arial" w:hAnsi="Arial" w:cs="Arial"/>
                <w:sz w:val="22"/>
                <w:szCs w:val="22"/>
              </w:rPr>
              <w:t>t</w:t>
            </w:r>
            <w:r w:rsidRPr="00DB7230">
              <w:rPr>
                <w:rFonts w:ascii="Arial" w:hAnsi="Arial" w:cs="Arial"/>
                <w:sz w:val="22"/>
                <w:szCs w:val="22"/>
              </w:rPr>
              <w:t xml:space="preserve">hat is substantially </w:t>
            </w:r>
            <w:proofErr w:type="gramStart"/>
            <w:r w:rsidRPr="00DB7230">
              <w:rPr>
                <w:rFonts w:ascii="Arial" w:hAnsi="Arial" w:cs="Arial"/>
                <w:sz w:val="22"/>
                <w:szCs w:val="22"/>
              </w:rPr>
              <w:t>similar to</w:t>
            </w:r>
            <w:proofErr w:type="gramEnd"/>
            <w:r w:rsidRPr="00DB7230">
              <w:rPr>
                <w:rFonts w:ascii="Arial" w:hAnsi="Arial" w:cs="Arial"/>
                <w:sz w:val="22"/>
                <w:szCs w:val="22"/>
              </w:rPr>
              <w:t xml:space="preserve"> </w:t>
            </w:r>
            <w:r w:rsidR="00DC7F02" w:rsidRPr="00DB7230">
              <w:rPr>
                <w:rFonts w:ascii="Arial" w:hAnsi="Arial" w:cs="Arial"/>
                <w:sz w:val="22"/>
                <w:szCs w:val="22"/>
              </w:rPr>
              <w:t>a Development</w:t>
            </w:r>
            <w:r w:rsidRPr="00DB7230">
              <w:rPr>
                <w:rFonts w:ascii="Arial" w:hAnsi="Arial" w:cs="Arial"/>
                <w:sz w:val="22"/>
                <w:szCs w:val="22"/>
              </w:rPr>
              <w:t xml:space="preserve"> Milestone, Sublicensing Income may be reduced by the aggregate amount of such </w:t>
            </w:r>
            <w:r w:rsidR="00DC7F02" w:rsidRPr="00DB7230">
              <w:rPr>
                <w:rFonts w:ascii="Arial" w:hAnsi="Arial" w:cs="Arial"/>
                <w:sz w:val="22"/>
                <w:szCs w:val="22"/>
              </w:rPr>
              <w:t>amounts</w:t>
            </w:r>
            <w:r w:rsidRPr="00DB7230">
              <w:rPr>
                <w:rFonts w:ascii="Arial" w:hAnsi="Arial" w:cs="Arial"/>
                <w:sz w:val="22"/>
                <w:szCs w:val="22"/>
              </w:rPr>
              <w:t xml:space="preserve"> received by Licensee that </w:t>
            </w:r>
            <w:r w:rsidR="00DC7F02" w:rsidRPr="00DB7230">
              <w:rPr>
                <w:rFonts w:ascii="Arial" w:hAnsi="Arial" w:cs="Arial"/>
                <w:sz w:val="22"/>
                <w:szCs w:val="22"/>
              </w:rPr>
              <w:t>are</w:t>
            </w:r>
            <w:r w:rsidRPr="00DB7230">
              <w:rPr>
                <w:rFonts w:ascii="Arial" w:hAnsi="Arial" w:cs="Arial"/>
                <w:sz w:val="22"/>
                <w:szCs w:val="22"/>
              </w:rPr>
              <w:t xml:space="preserve"> due to Licensor for achievement of such </w:t>
            </w:r>
            <w:r w:rsidR="00DC7F02" w:rsidRPr="00DB7230">
              <w:rPr>
                <w:rFonts w:ascii="Arial" w:hAnsi="Arial" w:cs="Arial"/>
                <w:sz w:val="22"/>
                <w:szCs w:val="22"/>
              </w:rPr>
              <w:t>Development Milestone.</w:t>
            </w:r>
          </w:p>
        </w:tc>
      </w:tr>
      <w:tr w:rsidR="00F25771" w:rsidRPr="00DB7230" w14:paraId="6CF66FB0" w14:textId="77777777" w:rsidTr="6C4217BD">
        <w:trPr>
          <w:jc w:val="center"/>
        </w:trPr>
        <w:tc>
          <w:tcPr>
            <w:tcW w:w="2470" w:type="dxa"/>
          </w:tcPr>
          <w:p w14:paraId="000000D4" w14:textId="6E5E444E" w:rsidR="00F25771" w:rsidRPr="00DB7230" w:rsidRDefault="00C5140E" w:rsidP="00F25771">
            <w:pPr>
              <w:tabs>
                <w:tab w:val="left" w:pos="-720"/>
              </w:tabs>
              <w:spacing w:before="96" w:after="96"/>
              <w:rPr>
                <w:rFonts w:ascii="Arial" w:hAnsi="Arial" w:cs="Arial"/>
                <w:b/>
                <w:sz w:val="22"/>
                <w:szCs w:val="22"/>
              </w:rPr>
            </w:pPr>
            <w:r w:rsidRPr="00DB7230">
              <w:rPr>
                <w:rFonts w:ascii="Arial" w:hAnsi="Arial" w:cs="Arial"/>
                <w:b/>
                <w:sz w:val="22"/>
                <w:szCs w:val="22"/>
              </w:rPr>
              <w:t>“</w:t>
            </w:r>
            <w:r w:rsidR="00F25771" w:rsidRPr="00DB7230">
              <w:rPr>
                <w:rFonts w:ascii="Arial" w:hAnsi="Arial" w:cs="Arial"/>
                <w:b/>
                <w:sz w:val="22"/>
                <w:szCs w:val="22"/>
              </w:rPr>
              <w:t>Valid Claim</w:t>
            </w:r>
            <w:r w:rsidRPr="00DB7230">
              <w:rPr>
                <w:rFonts w:ascii="Arial" w:hAnsi="Arial" w:cs="Arial"/>
                <w:b/>
                <w:sz w:val="22"/>
                <w:szCs w:val="22"/>
              </w:rPr>
              <w:t>”</w:t>
            </w:r>
          </w:p>
        </w:tc>
        <w:tc>
          <w:tcPr>
            <w:tcW w:w="12150" w:type="dxa"/>
          </w:tcPr>
          <w:p w14:paraId="000000D5" w14:textId="69BCA0B1" w:rsidR="00F25771" w:rsidRPr="00DB7230" w:rsidRDefault="00F25771" w:rsidP="00F110E9">
            <w:pPr>
              <w:pStyle w:val="Heading2"/>
              <w:keepNext w:val="0"/>
              <w:numPr>
                <w:ilvl w:val="0"/>
                <w:numId w:val="0"/>
              </w:numPr>
              <w:spacing w:before="0" w:after="120"/>
              <w:rPr>
                <w:rFonts w:ascii="Arial" w:hAnsi="Arial"/>
                <w:sz w:val="22"/>
                <w:szCs w:val="22"/>
              </w:rPr>
            </w:pPr>
            <w:bookmarkStart w:id="8" w:name="_heading=h.t0hay0kb4i0z" w:colFirst="0" w:colLast="0"/>
            <w:bookmarkEnd w:id="8"/>
            <w:r w:rsidRPr="00DB7230">
              <w:rPr>
                <w:rFonts w:ascii="Arial" w:hAnsi="Arial"/>
                <w:sz w:val="22"/>
                <w:szCs w:val="22"/>
              </w:rPr>
              <w:t xml:space="preserve">means, with respect to a particular country, (a) any claim of an issued and unexpired Patent Right in such country that (i) has not been held revoked, unenforceable or invalid by a decision of a court or governmental agency of competent jurisdiction, which decision is unappealable or </w:t>
            </w:r>
            <w:proofErr w:type="spellStart"/>
            <w:r w:rsidRPr="00DB7230">
              <w:rPr>
                <w:rFonts w:ascii="Arial" w:hAnsi="Arial"/>
                <w:sz w:val="22"/>
                <w:szCs w:val="22"/>
              </w:rPr>
              <w:t>unappealed</w:t>
            </w:r>
            <w:proofErr w:type="spellEnd"/>
            <w:r w:rsidRPr="00DB7230">
              <w:rPr>
                <w:rFonts w:ascii="Arial" w:hAnsi="Arial"/>
                <w:sz w:val="22"/>
                <w:szCs w:val="22"/>
              </w:rPr>
              <w:t xml:space="preserve"> within the time allowed for appeal and (ii) has not been abandoned, disclaimed, denied or admitted to be invalid or unenforceable through reissue or disclaimer or otherwise in such country, or (b) a claim of a pending Patent Right application that has not been finally abandoned or finally rejected or expired and which has been pending [5-7] years from the date of filing of the earliest priority Patent Right application to which such pending Patent Right application is entitled to claim benefit. Any claim in a pending Patent application that is filed after [5-7] years from its earliest priority date </w:t>
            </w:r>
            <w:r w:rsidR="00AE7FD5" w:rsidRPr="00DB7230">
              <w:rPr>
                <w:rFonts w:ascii="Arial" w:hAnsi="Arial"/>
                <w:sz w:val="22"/>
                <w:szCs w:val="22"/>
              </w:rPr>
              <w:t>will</w:t>
            </w:r>
            <w:r w:rsidRPr="00DB7230">
              <w:rPr>
                <w:rFonts w:ascii="Arial" w:hAnsi="Arial"/>
                <w:sz w:val="22"/>
                <w:szCs w:val="22"/>
              </w:rPr>
              <w:t xml:space="preserve"> not be considered a Valid Claim until such claim is granted and meets the requirement of subsection (a).</w:t>
            </w:r>
          </w:p>
        </w:tc>
      </w:tr>
    </w:tbl>
    <w:p w14:paraId="000000DA" w14:textId="77777777" w:rsidR="008D0DE5" w:rsidRPr="00DB7230" w:rsidRDefault="008D0DE5">
      <w:pPr>
        <w:widowControl w:val="0"/>
        <w:tabs>
          <w:tab w:val="left" w:pos="-720"/>
        </w:tabs>
        <w:rPr>
          <w:rFonts w:ascii="Arial" w:hAnsi="Arial" w:cs="Arial"/>
          <w:b/>
          <w:sz w:val="22"/>
          <w:szCs w:val="22"/>
        </w:rPr>
      </w:pPr>
    </w:p>
    <w:p w14:paraId="000000DB" w14:textId="7C20E579" w:rsidR="008D0DE5" w:rsidRPr="00DB7230" w:rsidRDefault="00C42A31">
      <w:pPr>
        <w:widowControl w:val="0"/>
        <w:tabs>
          <w:tab w:val="left" w:pos="-720"/>
        </w:tabs>
        <w:rPr>
          <w:rFonts w:ascii="Arial" w:hAnsi="Arial" w:cs="Arial"/>
          <w:b/>
          <w:sz w:val="22"/>
          <w:szCs w:val="22"/>
        </w:rPr>
      </w:pPr>
      <w:r w:rsidRPr="00DB7230">
        <w:rPr>
          <w:rFonts w:ascii="Arial" w:hAnsi="Arial" w:cs="Arial"/>
          <w:b/>
          <w:sz w:val="22"/>
          <w:szCs w:val="22"/>
        </w:rPr>
        <w:t xml:space="preserve">The parties agree that no binding obligations will be created until the written definitive License Agreement has been duly executed and delivered by authorized representatives of the parties. </w:t>
      </w:r>
      <w:r w:rsidR="00457082" w:rsidRPr="00DB7230">
        <w:rPr>
          <w:rFonts w:ascii="Arial" w:hAnsi="Arial" w:cs="Arial"/>
          <w:b/>
          <w:sz w:val="22"/>
          <w:szCs w:val="22"/>
        </w:rPr>
        <w:t>I</w:t>
      </w:r>
      <w:r w:rsidRPr="00DB7230">
        <w:rPr>
          <w:rFonts w:ascii="Arial" w:hAnsi="Arial" w:cs="Arial"/>
          <w:b/>
          <w:sz w:val="22"/>
          <w:szCs w:val="22"/>
        </w:rPr>
        <w:t xml:space="preserve">t is understood that the parties are free to terminate the discussions at any time for any reason prior to the execution of </w:t>
      </w:r>
      <w:r w:rsidR="00457082" w:rsidRPr="00DB7230">
        <w:rPr>
          <w:rFonts w:ascii="Arial" w:hAnsi="Arial" w:cs="Arial"/>
          <w:b/>
          <w:sz w:val="22"/>
          <w:szCs w:val="22"/>
        </w:rPr>
        <w:t>the</w:t>
      </w:r>
      <w:r w:rsidRPr="00DB7230">
        <w:rPr>
          <w:rFonts w:ascii="Arial" w:hAnsi="Arial" w:cs="Arial"/>
          <w:b/>
          <w:sz w:val="22"/>
          <w:szCs w:val="22"/>
        </w:rPr>
        <w:t xml:space="preserve"> definitive License Agreement.</w:t>
      </w:r>
    </w:p>
    <w:p w14:paraId="000000DC" w14:textId="77777777" w:rsidR="008D0DE5" w:rsidRPr="00DB7230" w:rsidRDefault="008D0DE5">
      <w:pPr>
        <w:widowControl w:val="0"/>
        <w:tabs>
          <w:tab w:val="left" w:pos="-720"/>
        </w:tabs>
        <w:jc w:val="center"/>
        <w:rPr>
          <w:rFonts w:ascii="Arial" w:hAnsi="Arial" w:cs="Arial"/>
          <w:sz w:val="22"/>
          <w:szCs w:val="22"/>
        </w:rPr>
      </w:pPr>
    </w:p>
    <w:p w14:paraId="000000DD" w14:textId="77777777" w:rsidR="008D0DE5" w:rsidRPr="00DB7230" w:rsidRDefault="008D0DE5">
      <w:pPr>
        <w:widowControl w:val="0"/>
        <w:tabs>
          <w:tab w:val="left" w:pos="-720"/>
        </w:tabs>
        <w:jc w:val="center"/>
        <w:rPr>
          <w:rFonts w:ascii="Arial" w:hAnsi="Arial" w:cs="Arial"/>
          <w:sz w:val="22"/>
          <w:szCs w:val="22"/>
        </w:rPr>
      </w:pPr>
    </w:p>
    <w:p w14:paraId="000000E2" w14:textId="77777777" w:rsidR="008D0DE5" w:rsidRPr="00DB7230" w:rsidRDefault="008D0DE5">
      <w:pPr>
        <w:widowControl w:val="0"/>
        <w:tabs>
          <w:tab w:val="left" w:pos="-720"/>
        </w:tabs>
        <w:jc w:val="center"/>
        <w:rPr>
          <w:rFonts w:ascii="Arial" w:hAnsi="Arial" w:cs="Arial"/>
          <w:sz w:val="22"/>
          <w:szCs w:val="22"/>
        </w:rPr>
      </w:pPr>
    </w:p>
    <w:p w14:paraId="000000E3" w14:textId="77777777" w:rsidR="008D0DE5" w:rsidRPr="00DB7230" w:rsidRDefault="00C42A31">
      <w:pPr>
        <w:widowControl w:val="0"/>
        <w:tabs>
          <w:tab w:val="left" w:pos="-720"/>
        </w:tabs>
        <w:jc w:val="center"/>
        <w:rPr>
          <w:rFonts w:ascii="Arial" w:hAnsi="Arial" w:cs="Arial"/>
          <w:sz w:val="22"/>
          <w:szCs w:val="22"/>
        </w:rPr>
      </w:pPr>
      <w:r w:rsidRPr="00DB7230">
        <w:rPr>
          <w:rFonts w:ascii="Arial" w:hAnsi="Arial" w:cs="Arial"/>
          <w:sz w:val="22"/>
          <w:szCs w:val="22"/>
        </w:rPr>
        <w:br w:type="page"/>
      </w:r>
    </w:p>
    <w:p w14:paraId="000000E4" w14:textId="77777777" w:rsidR="008D0DE5" w:rsidRPr="00DB7230" w:rsidRDefault="008D0DE5">
      <w:pPr>
        <w:widowControl w:val="0"/>
        <w:tabs>
          <w:tab w:val="left" w:pos="-720"/>
        </w:tabs>
        <w:jc w:val="center"/>
        <w:rPr>
          <w:rFonts w:ascii="Arial" w:hAnsi="Arial" w:cs="Arial"/>
          <w:b/>
          <w:sz w:val="22"/>
          <w:szCs w:val="22"/>
        </w:rPr>
      </w:pPr>
    </w:p>
    <w:p w14:paraId="000000E5" w14:textId="77777777" w:rsidR="008D0DE5" w:rsidRPr="00DB7230" w:rsidRDefault="00C42A31">
      <w:pPr>
        <w:widowControl w:val="0"/>
        <w:tabs>
          <w:tab w:val="left" w:pos="-720"/>
        </w:tabs>
        <w:jc w:val="center"/>
        <w:rPr>
          <w:rFonts w:ascii="Arial" w:hAnsi="Arial" w:cs="Arial"/>
          <w:b/>
          <w:sz w:val="22"/>
          <w:szCs w:val="22"/>
          <w:u w:val="single"/>
        </w:rPr>
      </w:pPr>
      <w:r w:rsidRPr="00DB7230">
        <w:rPr>
          <w:rFonts w:ascii="Arial" w:hAnsi="Arial" w:cs="Arial"/>
          <w:b/>
          <w:sz w:val="22"/>
          <w:szCs w:val="22"/>
          <w:u w:val="single"/>
        </w:rPr>
        <w:t>EXHIBITS</w:t>
      </w:r>
    </w:p>
    <w:p w14:paraId="000000E6" w14:textId="77777777" w:rsidR="008D0DE5" w:rsidRPr="00DB7230" w:rsidRDefault="008D0DE5">
      <w:pPr>
        <w:widowControl w:val="0"/>
        <w:tabs>
          <w:tab w:val="left" w:pos="-720"/>
        </w:tabs>
        <w:rPr>
          <w:rFonts w:ascii="Arial" w:hAnsi="Arial" w:cs="Arial"/>
          <w:b/>
          <w:sz w:val="22"/>
          <w:szCs w:val="22"/>
          <w:u w:val="single"/>
        </w:rPr>
      </w:pPr>
    </w:p>
    <w:p w14:paraId="000000E7" w14:textId="52201C97" w:rsidR="008D0DE5" w:rsidRPr="00DB7230" w:rsidRDefault="00C42A31">
      <w:pPr>
        <w:widowControl w:val="0"/>
        <w:tabs>
          <w:tab w:val="left" w:pos="-720"/>
        </w:tabs>
        <w:rPr>
          <w:rFonts w:ascii="Arial" w:hAnsi="Arial" w:cs="Arial"/>
          <w:b/>
          <w:sz w:val="22"/>
          <w:szCs w:val="22"/>
        </w:rPr>
      </w:pPr>
      <w:r w:rsidRPr="00DB7230">
        <w:rPr>
          <w:rFonts w:ascii="Arial" w:hAnsi="Arial" w:cs="Arial"/>
          <w:b/>
          <w:sz w:val="22"/>
          <w:szCs w:val="22"/>
          <w:u w:val="single"/>
        </w:rPr>
        <w:t xml:space="preserve">Exhibit A </w:t>
      </w:r>
      <w:r w:rsidRPr="00DB7230">
        <w:rPr>
          <w:rFonts w:ascii="Arial" w:hAnsi="Arial" w:cs="Arial"/>
          <w:b/>
          <w:sz w:val="22"/>
          <w:szCs w:val="22"/>
        </w:rPr>
        <w:t>–</w:t>
      </w:r>
      <w:r w:rsidR="00177007" w:rsidRPr="00DB7230">
        <w:rPr>
          <w:rFonts w:ascii="Arial" w:hAnsi="Arial" w:cs="Arial"/>
          <w:b/>
          <w:sz w:val="22"/>
          <w:szCs w:val="22"/>
        </w:rPr>
        <w:t xml:space="preserve"> </w:t>
      </w:r>
      <w:r w:rsidRPr="00DB7230">
        <w:rPr>
          <w:rFonts w:ascii="Arial" w:hAnsi="Arial" w:cs="Arial"/>
          <w:b/>
          <w:sz w:val="22"/>
          <w:szCs w:val="22"/>
        </w:rPr>
        <w:t>Patent</w:t>
      </w:r>
      <w:r w:rsidR="00177007" w:rsidRPr="00DB7230">
        <w:rPr>
          <w:rFonts w:ascii="Arial" w:hAnsi="Arial" w:cs="Arial"/>
          <w:b/>
          <w:sz w:val="22"/>
          <w:szCs w:val="22"/>
        </w:rPr>
        <w:t xml:space="preserve"> Right</w:t>
      </w:r>
      <w:r w:rsidRPr="00DB7230">
        <w:rPr>
          <w:rFonts w:ascii="Arial" w:hAnsi="Arial" w:cs="Arial"/>
          <w:b/>
          <w:sz w:val="22"/>
          <w:szCs w:val="22"/>
        </w:rPr>
        <w:t>s</w:t>
      </w:r>
    </w:p>
    <w:p w14:paraId="000000E8" w14:textId="77777777" w:rsidR="008D0DE5" w:rsidRPr="00DB7230" w:rsidRDefault="008D0DE5">
      <w:pPr>
        <w:widowControl w:val="0"/>
        <w:tabs>
          <w:tab w:val="left" w:pos="-720"/>
        </w:tabs>
        <w:rPr>
          <w:rFonts w:ascii="Arial" w:hAnsi="Arial" w:cs="Arial"/>
          <w:b/>
          <w:sz w:val="22"/>
          <w:szCs w:val="22"/>
        </w:rPr>
      </w:pPr>
    </w:p>
    <w:p w14:paraId="000000E9" w14:textId="77777777" w:rsidR="008D0DE5" w:rsidRPr="00DB7230" w:rsidRDefault="00C42A31">
      <w:pPr>
        <w:widowControl w:val="0"/>
        <w:tabs>
          <w:tab w:val="left" w:pos="-720"/>
        </w:tabs>
        <w:rPr>
          <w:rFonts w:ascii="Arial" w:hAnsi="Arial" w:cs="Arial"/>
          <w:b/>
          <w:sz w:val="22"/>
          <w:szCs w:val="22"/>
        </w:rPr>
      </w:pPr>
      <w:r w:rsidRPr="00DB7230">
        <w:rPr>
          <w:rFonts w:ascii="Arial" w:hAnsi="Arial" w:cs="Arial"/>
          <w:b/>
          <w:sz w:val="22"/>
          <w:szCs w:val="22"/>
          <w:u w:val="single"/>
        </w:rPr>
        <w:t>Exhibit B</w:t>
      </w:r>
      <w:r w:rsidRPr="00DB7230">
        <w:rPr>
          <w:rFonts w:ascii="Arial" w:hAnsi="Arial" w:cs="Arial"/>
          <w:b/>
          <w:sz w:val="22"/>
          <w:szCs w:val="22"/>
        </w:rPr>
        <w:t xml:space="preserve"> – Licensed Know-How</w:t>
      </w:r>
    </w:p>
    <w:p w14:paraId="000000EA" w14:textId="77777777" w:rsidR="008D0DE5" w:rsidRPr="00DB7230" w:rsidRDefault="008D0DE5">
      <w:pPr>
        <w:widowControl w:val="0"/>
        <w:tabs>
          <w:tab w:val="left" w:pos="-720"/>
        </w:tabs>
        <w:rPr>
          <w:rFonts w:ascii="Arial" w:hAnsi="Arial" w:cs="Arial"/>
          <w:b/>
          <w:sz w:val="22"/>
          <w:szCs w:val="22"/>
        </w:rPr>
      </w:pPr>
    </w:p>
    <w:p w14:paraId="000000EB" w14:textId="77777777" w:rsidR="008D0DE5" w:rsidRPr="00DB7230" w:rsidRDefault="008D0DE5">
      <w:pPr>
        <w:widowControl w:val="0"/>
        <w:tabs>
          <w:tab w:val="left" w:pos="-720"/>
        </w:tabs>
        <w:rPr>
          <w:rFonts w:ascii="Arial" w:hAnsi="Arial" w:cs="Arial"/>
          <w:b/>
          <w:sz w:val="22"/>
          <w:szCs w:val="22"/>
          <w:u w:val="single"/>
        </w:rPr>
      </w:pPr>
    </w:p>
    <w:sectPr w:rsidR="008D0DE5" w:rsidRPr="00DB7230" w:rsidSect="00BB0919">
      <w:headerReference w:type="default" r:id="rId16"/>
      <w:footerReference w:type="default" r:id="rId17"/>
      <w:pgSz w:w="15840" w:h="12240" w:orient="landscape"/>
      <w:pgMar w:top="630" w:right="720" w:bottom="540" w:left="720" w:header="720" w:footer="55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88134" w14:textId="77777777" w:rsidR="00B9379D" w:rsidRDefault="00B9379D">
      <w:r>
        <w:separator/>
      </w:r>
    </w:p>
  </w:endnote>
  <w:endnote w:type="continuationSeparator" w:id="0">
    <w:p w14:paraId="46539048" w14:textId="77777777" w:rsidR="00B9379D" w:rsidRDefault="00B9379D">
      <w:r>
        <w:continuationSeparator/>
      </w:r>
    </w:p>
  </w:endnote>
  <w:endnote w:type="continuationNotice" w:id="1">
    <w:p w14:paraId="4DC4D0DC" w14:textId="77777777" w:rsidR="00B9379D" w:rsidRDefault="00B937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1243081"/>
      <w:docPartObj>
        <w:docPartGallery w:val="Page Numbers (Bottom of Page)"/>
        <w:docPartUnique/>
      </w:docPartObj>
    </w:sdtPr>
    <w:sdtContent>
      <w:sdt>
        <w:sdtPr>
          <w:id w:val="1728636285"/>
          <w:docPartObj>
            <w:docPartGallery w:val="Page Numbers (Top of Page)"/>
            <w:docPartUnique/>
          </w:docPartObj>
        </w:sdtPr>
        <w:sdtContent>
          <w:p w14:paraId="2E701C16" w14:textId="77777777" w:rsidR="00BB0919" w:rsidRDefault="00BB0919">
            <w:pPr>
              <w:pStyle w:val="Footer"/>
              <w:jc w:val="center"/>
            </w:pPr>
          </w:p>
          <w:p w14:paraId="5562A75F" w14:textId="77777777" w:rsidR="00BB0919" w:rsidRDefault="00BB0919">
            <w:pPr>
              <w:pStyle w:val="Footer"/>
              <w:jc w:val="center"/>
            </w:pPr>
          </w:p>
          <w:p w14:paraId="500BFEE7" w14:textId="12895B3C" w:rsidR="00562D67" w:rsidRDefault="00562D67">
            <w:pPr>
              <w:pStyle w:val="Footer"/>
              <w:jc w:val="center"/>
            </w:pPr>
            <w:r w:rsidRPr="00C60AC8">
              <w:rPr>
                <w:rFonts w:ascii="Arial" w:hAnsi="Arial" w:cs="Arial"/>
                <w:sz w:val="22"/>
                <w:szCs w:val="22"/>
              </w:rPr>
              <w:t xml:space="preserve">Page </w:t>
            </w:r>
            <w:r w:rsidRPr="00C60AC8">
              <w:rPr>
                <w:rFonts w:ascii="Arial" w:hAnsi="Arial" w:cs="Arial"/>
                <w:b/>
                <w:bCs/>
                <w:sz w:val="22"/>
                <w:szCs w:val="22"/>
              </w:rPr>
              <w:fldChar w:fldCharType="begin"/>
            </w:r>
            <w:r w:rsidRPr="00C60AC8">
              <w:rPr>
                <w:rFonts w:ascii="Arial" w:hAnsi="Arial" w:cs="Arial"/>
                <w:b/>
                <w:bCs/>
                <w:sz w:val="22"/>
                <w:szCs w:val="22"/>
              </w:rPr>
              <w:instrText xml:space="preserve"> PAGE </w:instrText>
            </w:r>
            <w:r w:rsidRPr="00C60AC8">
              <w:rPr>
                <w:rFonts w:ascii="Arial" w:hAnsi="Arial" w:cs="Arial"/>
                <w:b/>
                <w:bCs/>
                <w:sz w:val="22"/>
                <w:szCs w:val="22"/>
              </w:rPr>
              <w:fldChar w:fldCharType="separate"/>
            </w:r>
            <w:r w:rsidR="00281F65">
              <w:rPr>
                <w:rFonts w:ascii="Arial" w:hAnsi="Arial" w:cs="Arial"/>
                <w:b/>
                <w:bCs/>
                <w:noProof/>
                <w:sz w:val="22"/>
                <w:szCs w:val="22"/>
              </w:rPr>
              <w:t>5</w:t>
            </w:r>
            <w:r w:rsidRPr="00C60AC8">
              <w:rPr>
                <w:rFonts w:ascii="Arial" w:hAnsi="Arial" w:cs="Arial"/>
                <w:b/>
                <w:bCs/>
                <w:sz w:val="22"/>
                <w:szCs w:val="22"/>
              </w:rPr>
              <w:fldChar w:fldCharType="end"/>
            </w:r>
            <w:r w:rsidRPr="00C60AC8">
              <w:rPr>
                <w:rFonts w:ascii="Arial" w:hAnsi="Arial" w:cs="Arial"/>
                <w:sz w:val="22"/>
                <w:szCs w:val="22"/>
              </w:rPr>
              <w:t xml:space="preserve"> of </w:t>
            </w:r>
            <w:r w:rsidRPr="00C60AC8">
              <w:rPr>
                <w:rFonts w:ascii="Arial" w:hAnsi="Arial" w:cs="Arial"/>
                <w:b/>
                <w:bCs/>
                <w:sz w:val="22"/>
                <w:szCs w:val="22"/>
              </w:rPr>
              <w:fldChar w:fldCharType="begin"/>
            </w:r>
            <w:r w:rsidRPr="00C60AC8">
              <w:rPr>
                <w:rFonts w:ascii="Arial" w:hAnsi="Arial" w:cs="Arial"/>
                <w:b/>
                <w:bCs/>
                <w:sz w:val="22"/>
                <w:szCs w:val="22"/>
              </w:rPr>
              <w:instrText xml:space="preserve"> NUMPAGES  </w:instrText>
            </w:r>
            <w:r w:rsidRPr="00C60AC8">
              <w:rPr>
                <w:rFonts w:ascii="Arial" w:hAnsi="Arial" w:cs="Arial"/>
                <w:b/>
                <w:bCs/>
                <w:sz w:val="22"/>
                <w:szCs w:val="22"/>
              </w:rPr>
              <w:fldChar w:fldCharType="separate"/>
            </w:r>
            <w:r w:rsidR="00281F65">
              <w:rPr>
                <w:rFonts w:ascii="Arial" w:hAnsi="Arial" w:cs="Arial"/>
                <w:b/>
                <w:bCs/>
                <w:noProof/>
                <w:sz w:val="22"/>
                <w:szCs w:val="22"/>
              </w:rPr>
              <w:t>21</w:t>
            </w:r>
            <w:r w:rsidRPr="00C60AC8">
              <w:rPr>
                <w:rFonts w:ascii="Arial" w:hAnsi="Arial" w:cs="Arial"/>
                <w:b/>
                <w:bCs/>
                <w:sz w:val="22"/>
                <w:szCs w:val="22"/>
              </w:rPr>
              <w:fldChar w:fldCharType="end"/>
            </w:r>
          </w:p>
        </w:sdtContent>
      </w:sdt>
    </w:sdtContent>
  </w:sdt>
  <w:p w14:paraId="0000010C" w14:textId="77777777" w:rsidR="00562D67" w:rsidRDefault="00562D67">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B8EC6" w14:textId="77777777" w:rsidR="00B9379D" w:rsidRDefault="00B9379D">
      <w:r>
        <w:separator/>
      </w:r>
    </w:p>
  </w:footnote>
  <w:footnote w:type="continuationSeparator" w:id="0">
    <w:p w14:paraId="1E716AA3" w14:textId="77777777" w:rsidR="00B9379D" w:rsidRDefault="00B9379D">
      <w:r>
        <w:continuationSeparator/>
      </w:r>
    </w:p>
  </w:footnote>
  <w:footnote w:type="continuationNotice" w:id="1">
    <w:p w14:paraId="3661078E" w14:textId="77777777" w:rsidR="00B9379D" w:rsidRDefault="00B9379D"/>
  </w:footnote>
  <w:footnote w:id="2">
    <w:p w14:paraId="000000EC" w14:textId="77777777" w:rsidR="00562D67" w:rsidRPr="00C60AC8" w:rsidRDefault="00562D67">
      <w:pPr>
        <w:pBdr>
          <w:top w:val="nil"/>
          <w:left w:val="nil"/>
          <w:bottom w:val="nil"/>
          <w:right w:val="nil"/>
          <w:between w:val="nil"/>
        </w:pBdr>
        <w:rPr>
          <w:rFonts w:ascii="Arial" w:hAnsi="Arial" w:cs="Arial"/>
          <w:color w:val="000000"/>
          <w:sz w:val="20"/>
          <w:szCs w:val="20"/>
        </w:rPr>
      </w:pPr>
      <w:r w:rsidRPr="00C60AC8">
        <w:rPr>
          <w:rStyle w:val="FootnoteReference"/>
          <w:rFonts w:ascii="Arial" w:hAnsi="Arial" w:cs="Arial"/>
          <w:sz w:val="20"/>
          <w:szCs w:val="20"/>
        </w:rPr>
        <w:footnoteRef/>
      </w:r>
      <w:r w:rsidRPr="00C60AC8">
        <w:rPr>
          <w:rFonts w:ascii="Arial" w:hAnsi="Arial" w:cs="Arial"/>
          <w:color w:val="000000"/>
          <w:sz w:val="20"/>
          <w:szCs w:val="20"/>
        </w:rPr>
        <w:t xml:space="preserve"> If there is an Inter-Institutional Agreement or joint ownership of the licensed technology, include a description here. </w:t>
      </w:r>
    </w:p>
  </w:footnote>
  <w:footnote w:id="3">
    <w:p w14:paraId="5C8C29C3" w14:textId="508017B2" w:rsidR="00562D67" w:rsidRDefault="00562D67">
      <w:pPr>
        <w:pStyle w:val="FootnoteText"/>
      </w:pPr>
      <w:r w:rsidRPr="00C60AC8">
        <w:rPr>
          <w:rStyle w:val="FootnoteReference"/>
          <w:rFonts w:ascii="Arial" w:hAnsi="Arial" w:cs="Arial"/>
        </w:rPr>
        <w:footnoteRef/>
      </w:r>
      <w:r w:rsidRPr="00C60AC8">
        <w:rPr>
          <w:rFonts w:ascii="Arial" w:hAnsi="Arial" w:cs="Arial"/>
        </w:rPr>
        <w:t xml:space="preserve"> Therapeutics should generally be licensed for all uses, to avoid the risk of another licens</w:t>
      </w:r>
      <w:r w:rsidR="00293296" w:rsidRPr="00C60AC8">
        <w:rPr>
          <w:rFonts w:ascii="Arial" w:hAnsi="Arial" w:cs="Arial"/>
        </w:rPr>
        <w:t>ee’s using the Licensed Technology</w:t>
      </w:r>
      <w:r w:rsidRPr="00C60AC8">
        <w:rPr>
          <w:rFonts w:ascii="Arial" w:hAnsi="Arial" w:cs="Arial"/>
        </w:rPr>
        <w:t xml:space="preserve"> for something else and obtaining data that may </w:t>
      </w:r>
      <w:r w:rsidR="00293296" w:rsidRPr="00C60AC8">
        <w:rPr>
          <w:rFonts w:ascii="Arial" w:hAnsi="Arial" w:cs="Arial"/>
        </w:rPr>
        <w:t>jeopardize</w:t>
      </w:r>
      <w:r w:rsidRPr="00C60AC8">
        <w:rPr>
          <w:rFonts w:ascii="Arial" w:hAnsi="Arial" w:cs="Arial"/>
        </w:rPr>
        <w:t xml:space="preserve"> approval by the FDA of Licensee’s products.</w:t>
      </w:r>
    </w:p>
  </w:footnote>
  <w:footnote w:id="4">
    <w:p w14:paraId="000000EE" w14:textId="2E582639" w:rsidR="00D21497" w:rsidRPr="00C60AC8" w:rsidRDefault="00D21497">
      <w:pPr>
        <w:pBdr>
          <w:top w:val="nil"/>
          <w:left w:val="nil"/>
          <w:bottom w:val="nil"/>
          <w:right w:val="nil"/>
          <w:between w:val="nil"/>
        </w:pBdr>
        <w:rPr>
          <w:rFonts w:ascii="Arial" w:hAnsi="Arial" w:cs="Arial"/>
          <w:color w:val="000000"/>
          <w:sz w:val="20"/>
          <w:szCs w:val="20"/>
        </w:rPr>
      </w:pPr>
      <w:r w:rsidRPr="00C60AC8">
        <w:rPr>
          <w:rStyle w:val="FootnoteReference"/>
          <w:rFonts w:ascii="Arial" w:hAnsi="Arial" w:cs="Arial"/>
          <w:sz w:val="20"/>
          <w:szCs w:val="20"/>
        </w:rPr>
        <w:footnoteRef/>
      </w:r>
      <w:r w:rsidRPr="00C60AC8">
        <w:rPr>
          <w:rFonts w:ascii="Arial" w:hAnsi="Arial" w:cs="Arial"/>
          <w:color w:val="000000"/>
          <w:sz w:val="20"/>
          <w:szCs w:val="20"/>
        </w:rPr>
        <w:t xml:space="preserve"> The intention is to cover inventions that are disclosed in the original application, but where the original application did not include sufficient disclosure for enablement purposes.</w:t>
      </w:r>
    </w:p>
  </w:footnote>
  <w:footnote w:id="5">
    <w:p w14:paraId="000000EF" w14:textId="4CAE02B4" w:rsidR="00D21497" w:rsidRPr="00C60AC8" w:rsidRDefault="00D21497">
      <w:pPr>
        <w:pBdr>
          <w:top w:val="nil"/>
          <w:left w:val="nil"/>
          <w:bottom w:val="nil"/>
          <w:right w:val="nil"/>
          <w:between w:val="nil"/>
        </w:pBdr>
        <w:rPr>
          <w:rFonts w:ascii="Arial" w:hAnsi="Arial" w:cs="Arial"/>
          <w:color w:val="000000"/>
          <w:sz w:val="20"/>
          <w:szCs w:val="20"/>
        </w:rPr>
      </w:pPr>
      <w:r w:rsidRPr="00C60AC8">
        <w:rPr>
          <w:rStyle w:val="FootnoteReference"/>
          <w:rFonts w:ascii="Arial" w:hAnsi="Arial" w:cs="Arial"/>
          <w:sz w:val="20"/>
          <w:szCs w:val="20"/>
        </w:rPr>
        <w:footnoteRef/>
      </w:r>
      <w:r w:rsidRPr="00C60AC8">
        <w:rPr>
          <w:rFonts w:ascii="Arial" w:hAnsi="Arial" w:cs="Arial"/>
          <w:color w:val="000000"/>
          <w:sz w:val="20"/>
          <w:szCs w:val="20"/>
        </w:rPr>
        <w:t xml:space="preserve"> Where Licensee seeks to include improvements under the license, careful attention must be given to Licensor’s tax risks (e.g., Internal Revenue Procedure Ruling 97-14 or successor IRS guidance; also consider ramifications of state tax law and Bayh Dole)</w:t>
      </w:r>
      <w:r w:rsidR="00A0359E" w:rsidRPr="00C60AC8">
        <w:rPr>
          <w:rFonts w:ascii="Arial" w:hAnsi="Arial" w:cs="Arial"/>
          <w:color w:val="000000"/>
          <w:sz w:val="20"/>
          <w:szCs w:val="20"/>
        </w:rPr>
        <w:t>,</w:t>
      </w:r>
      <w:r w:rsidRPr="00C60AC8">
        <w:rPr>
          <w:rFonts w:ascii="Arial" w:hAnsi="Arial" w:cs="Arial"/>
          <w:color w:val="000000"/>
          <w:sz w:val="20"/>
          <w:szCs w:val="20"/>
        </w:rPr>
        <w:t xml:space="preserve"> potential conflict of interest issues</w:t>
      </w:r>
      <w:r w:rsidR="00A0359E" w:rsidRPr="00C60AC8">
        <w:rPr>
          <w:rFonts w:ascii="Arial" w:hAnsi="Arial" w:cs="Arial"/>
          <w:color w:val="000000"/>
          <w:sz w:val="20"/>
          <w:szCs w:val="20"/>
        </w:rPr>
        <w:t>, and policies on licensing future IP</w:t>
      </w:r>
      <w:r w:rsidRPr="00C60AC8">
        <w:rPr>
          <w:rFonts w:ascii="Arial" w:hAnsi="Arial" w:cs="Arial"/>
          <w:color w:val="000000"/>
          <w:sz w:val="20"/>
          <w:szCs w:val="20"/>
        </w:rPr>
        <w:t xml:space="preserve">. Some universities will seek to include improvements by way of subsequent amendments rather than as a matter of initial right. </w:t>
      </w:r>
    </w:p>
  </w:footnote>
  <w:footnote w:id="6">
    <w:p w14:paraId="6AE979F6" w14:textId="78E11DE2" w:rsidR="00DB4E9C" w:rsidRPr="00DB4E9C" w:rsidRDefault="00DB4E9C">
      <w:pPr>
        <w:pStyle w:val="FootnoteText"/>
        <w:rPr>
          <w:rFonts w:ascii="Arial" w:hAnsi="Arial" w:cs="Arial"/>
        </w:rPr>
      </w:pPr>
      <w:r w:rsidRPr="00DB4E9C">
        <w:rPr>
          <w:rStyle w:val="FootnoteReference"/>
          <w:rFonts w:ascii="Arial" w:hAnsi="Arial" w:cs="Arial"/>
        </w:rPr>
        <w:footnoteRef/>
      </w:r>
      <w:r w:rsidRPr="00DB4E9C">
        <w:rPr>
          <w:rFonts w:ascii="Arial" w:hAnsi="Arial" w:cs="Arial"/>
        </w:rPr>
        <w:t xml:space="preserve"> </w:t>
      </w:r>
      <w:r>
        <w:rPr>
          <w:rFonts w:ascii="Arial" w:hAnsi="Arial" w:cs="Arial"/>
        </w:rPr>
        <w:t xml:space="preserve">This term sheet </w:t>
      </w:r>
      <w:r w:rsidR="00A479AA">
        <w:rPr>
          <w:rFonts w:ascii="Arial" w:hAnsi="Arial" w:cs="Arial"/>
        </w:rPr>
        <w:t>contemplates a</w:t>
      </w:r>
      <w:r>
        <w:rPr>
          <w:rFonts w:ascii="Arial" w:hAnsi="Arial" w:cs="Arial"/>
        </w:rPr>
        <w:t xml:space="preserve"> license to patents and know-how. I</w:t>
      </w:r>
      <w:r w:rsidR="00A479AA">
        <w:rPr>
          <w:rFonts w:ascii="Arial" w:hAnsi="Arial" w:cs="Arial"/>
        </w:rPr>
        <w:t xml:space="preserve">f </w:t>
      </w:r>
      <w:r>
        <w:rPr>
          <w:rFonts w:ascii="Arial" w:hAnsi="Arial" w:cs="Arial"/>
        </w:rPr>
        <w:t xml:space="preserve">Licensed Know-how is not </w:t>
      </w:r>
      <w:r w:rsidR="00A479AA">
        <w:rPr>
          <w:rFonts w:ascii="Arial" w:hAnsi="Arial" w:cs="Arial"/>
        </w:rPr>
        <w:t>part of the transaction</w:t>
      </w:r>
      <w:r>
        <w:rPr>
          <w:rFonts w:ascii="Arial" w:hAnsi="Arial" w:cs="Arial"/>
        </w:rPr>
        <w:t>, the provisions of the term sheet will need to be revised accordingly.</w:t>
      </w:r>
    </w:p>
  </w:footnote>
  <w:footnote w:id="7">
    <w:p w14:paraId="000000F1" w14:textId="023183DD" w:rsidR="00D21497" w:rsidRDefault="00D21497">
      <w:pPr>
        <w:pBdr>
          <w:top w:val="nil"/>
          <w:left w:val="nil"/>
          <w:bottom w:val="nil"/>
          <w:right w:val="nil"/>
          <w:between w:val="nil"/>
        </w:pBdr>
        <w:rPr>
          <w:color w:val="000000"/>
          <w:sz w:val="20"/>
          <w:szCs w:val="20"/>
        </w:rPr>
      </w:pPr>
      <w:r w:rsidRPr="00C60AC8">
        <w:rPr>
          <w:rStyle w:val="FootnoteReference"/>
          <w:rFonts w:ascii="Arial" w:hAnsi="Arial" w:cs="Arial"/>
          <w:sz w:val="20"/>
          <w:szCs w:val="20"/>
        </w:rPr>
        <w:footnoteRef/>
      </w:r>
      <w:r w:rsidRPr="00C60AC8">
        <w:rPr>
          <w:rFonts w:ascii="Arial" w:hAnsi="Arial" w:cs="Arial"/>
          <w:color w:val="000000"/>
          <w:sz w:val="20"/>
          <w:szCs w:val="20"/>
        </w:rPr>
        <w:t xml:space="preserve"> In the event Sublicensing is permitted through only a specified number of tiers, then provide that (a) Licensor shall not unreasonably withhold consent to additional tiers of Sublicenses and (b) in any event, if any Sublicensee is a Significant Partner, the Significant Partner has the right to license through multiple tiers.  “</w:t>
      </w:r>
      <w:r w:rsidRPr="00C60AC8">
        <w:rPr>
          <w:rFonts w:ascii="Arial" w:hAnsi="Arial" w:cs="Arial"/>
          <w:b/>
          <w:color w:val="000000"/>
          <w:sz w:val="20"/>
          <w:szCs w:val="20"/>
        </w:rPr>
        <w:t>Significant Partner</w:t>
      </w:r>
      <w:r w:rsidRPr="00C60AC8">
        <w:rPr>
          <w:rFonts w:ascii="Arial" w:hAnsi="Arial" w:cs="Arial"/>
          <w:color w:val="000000"/>
          <w:sz w:val="20"/>
          <w:szCs w:val="20"/>
        </w:rPr>
        <w:t>” means a company that has a market capitalization of at least $1 billion</w:t>
      </w:r>
      <w:r w:rsidR="007C6730">
        <w:rPr>
          <w:rFonts w:ascii="Arial" w:hAnsi="Arial" w:cs="Arial"/>
          <w:color w:val="000000"/>
          <w:sz w:val="20"/>
          <w:szCs w:val="20"/>
        </w:rPr>
        <w:t xml:space="preserve"> (or a comparable private company)</w:t>
      </w:r>
      <w:r w:rsidRPr="00C60AC8">
        <w:rPr>
          <w:rFonts w:ascii="Arial" w:hAnsi="Arial" w:cs="Arial"/>
          <w:color w:val="000000"/>
          <w:sz w:val="20"/>
          <w:szCs w:val="20"/>
        </w:rPr>
        <w:t>.</w:t>
      </w:r>
    </w:p>
  </w:footnote>
  <w:footnote w:id="8">
    <w:p w14:paraId="000000F2" w14:textId="5D19D6C9" w:rsidR="00D21497" w:rsidRPr="00C60AC8" w:rsidRDefault="00D21497">
      <w:pPr>
        <w:pBdr>
          <w:top w:val="nil"/>
          <w:left w:val="nil"/>
          <w:bottom w:val="nil"/>
          <w:right w:val="nil"/>
          <w:between w:val="nil"/>
        </w:pBdr>
        <w:rPr>
          <w:rFonts w:ascii="Arial" w:hAnsi="Arial" w:cs="Arial"/>
          <w:color w:val="000000"/>
          <w:sz w:val="20"/>
          <w:szCs w:val="20"/>
        </w:rPr>
      </w:pPr>
      <w:r w:rsidRPr="00C60AC8">
        <w:rPr>
          <w:rStyle w:val="FootnoteReference"/>
          <w:rFonts w:ascii="Arial" w:hAnsi="Arial" w:cs="Arial"/>
          <w:sz w:val="20"/>
          <w:szCs w:val="20"/>
        </w:rPr>
        <w:footnoteRef/>
      </w:r>
      <w:r w:rsidRPr="00C60AC8">
        <w:rPr>
          <w:rFonts w:ascii="Arial" w:hAnsi="Arial" w:cs="Arial"/>
          <w:color w:val="000000"/>
          <w:sz w:val="20"/>
          <w:szCs w:val="20"/>
        </w:rPr>
        <w:t xml:space="preserve"> The amount of the up-front fee may be impacted by th</w:t>
      </w:r>
      <w:r w:rsidR="00905475" w:rsidRPr="00C60AC8">
        <w:rPr>
          <w:rFonts w:ascii="Arial" w:hAnsi="Arial" w:cs="Arial"/>
          <w:color w:val="000000"/>
          <w:sz w:val="20"/>
          <w:szCs w:val="20"/>
        </w:rPr>
        <w:t>e</w:t>
      </w:r>
      <w:r w:rsidRPr="00C60AC8">
        <w:rPr>
          <w:rFonts w:ascii="Arial" w:hAnsi="Arial" w:cs="Arial"/>
          <w:color w:val="000000"/>
          <w:sz w:val="20"/>
          <w:szCs w:val="20"/>
        </w:rPr>
        <w:t xml:space="preserve"> patent expenses to be reimbursed, particularly where they are significant.</w:t>
      </w:r>
    </w:p>
  </w:footnote>
  <w:footnote w:id="9">
    <w:p w14:paraId="000000F3" w14:textId="595B3D2F" w:rsidR="00D21497" w:rsidRPr="00C60AC8" w:rsidRDefault="00D21497">
      <w:pPr>
        <w:pBdr>
          <w:top w:val="nil"/>
          <w:left w:val="nil"/>
          <w:bottom w:val="nil"/>
          <w:right w:val="nil"/>
          <w:between w:val="nil"/>
        </w:pBdr>
        <w:rPr>
          <w:rFonts w:ascii="Arial" w:hAnsi="Arial" w:cs="Arial"/>
          <w:color w:val="000000"/>
          <w:sz w:val="20"/>
          <w:szCs w:val="20"/>
        </w:rPr>
      </w:pPr>
      <w:r w:rsidRPr="00C60AC8">
        <w:rPr>
          <w:rStyle w:val="FootnoteReference"/>
          <w:rFonts w:ascii="Arial" w:hAnsi="Arial" w:cs="Arial"/>
          <w:sz w:val="20"/>
          <w:szCs w:val="20"/>
        </w:rPr>
        <w:footnoteRef/>
      </w:r>
      <w:r w:rsidRPr="00C60AC8">
        <w:rPr>
          <w:rFonts w:ascii="Arial" w:hAnsi="Arial" w:cs="Arial"/>
          <w:color w:val="000000"/>
          <w:sz w:val="20"/>
          <w:szCs w:val="20"/>
        </w:rPr>
        <w:t xml:space="preserve"> Universities differ in their approaches: some may not ask for either equity or a success fee, some may ask for one or the other, and some may ask for both. Licensee and their venture capital investors may advocate for a success fee rather than equity</w:t>
      </w:r>
      <w:r w:rsidR="00C9719C" w:rsidRPr="00C60AC8">
        <w:rPr>
          <w:rFonts w:ascii="Arial" w:hAnsi="Arial" w:cs="Arial"/>
          <w:color w:val="000000"/>
          <w:sz w:val="20"/>
          <w:szCs w:val="20"/>
        </w:rPr>
        <w:t xml:space="preserve"> (but not both)</w:t>
      </w:r>
      <w:r w:rsidRPr="00C60AC8">
        <w:rPr>
          <w:rFonts w:ascii="Arial" w:hAnsi="Arial" w:cs="Arial"/>
          <w:color w:val="000000"/>
          <w:sz w:val="20"/>
          <w:szCs w:val="20"/>
        </w:rPr>
        <w:t>, as an approach which is both simpler and avoids any issues under Licensor’s conflict of interest policies.</w:t>
      </w:r>
      <w:r w:rsidR="00385575" w:rsidRPr="00C60AC8">
        <w:rPr>
          <w:rFonts w:ascii="Arial" w:hAnsi="Arial" w:cs="Arial"/>
          <w:color w:val="000000"/>
          <w:sz w:val="20"/>
          <w:szCs w:val="20"/>
        </w:rPr>
        <w:t xml:space="preserve"> Success fees</w:t>
      </w:r>
      <w:r w:rsidR="00905475" w:rsidRPr="00C60AC8">
        <w:rPr>
          <w:rFonts w:ascii="Arial" w:hAnsi="Arial" w:cs="Arial"/>
          <w:color w:val="000000"/>
          <w:sz w:val="20"/>
          <w:szCs w:val="20"/>
        </w:rPr>
        <w:t xml:space="preserve"> can take the form of</w:t>
      </w:r>
      <w:r w:rsidRPr="00C60AC8">
        <w:rPr>
          <w:rFonts w:ascii="Arial" w:hAnsi="Arial" w:cs="Arial"/>
          <w:color w:val="000000"/>
          <w:sz w:val="20"/>
          <w:szCs w:val="20"/>
        </w:rPr>
        <w:t xml:space="preserve"> </w:t>
      </w:r>
      <w:r w:rsidR="00385575" w:rsidRPr="00C60AC8">
        <w:rPr>
          <w:rFonts w:ascii="Arial" w:hAnsi="Arial" w:cs="Arial"/>
          <w:iCs/>
          <w:color w:val="000000"/>
          <w:sz w:val="20"/>
          <w:szCs w:val="20"/>
        </w:rPr>
        <w:t>(a) a percentage of the [upfront] acquisition proceeds</w:t>
      </w:r>
      <w:r w:rsidR="00385575" w:rsidRPr="00C60AC8">
        <w:rPr>
          <w:rFonts w:ascii="Arial" w:hAnsi="Arial" w:cs="Arial"/>
          <w:iCs/>
          <w:sz w:val="20"/>
          <w:szCs w:val="20"/>
        </w:rPr>
        <w:t xml:space="preserve"> in the event Licens</w:t>
      </w:r>
      <w:r w:rsidR="00905475" w:rsidRPr="00C60AC8">
        <w:rPr>
          <w:rFonts w:ascii="Arial" w:hAnsi="Arial" w:cs="Arial"/>
          <w:iCs/>
          <w:sz w:val="20"/>
          <w:szCs w:val="20"/>
        </w:rPr>
        <w:t>ee</w:t>
      </w:r>
      <w:r w:rsidR="00385575" w:rsidRPr="00C60AC8">
        <w:rPr>
          <w:rFonts w:ascii="Arial" w:hAnsi="Arial" w:cs="Arial"/>
          <w:iCs/>
          <w:sz w:val="20"/>
          <w:szCs w:val="20"/>
        </w:rPr>
        <w:t xml:space="preserve"> </w:t>
      </w:r>
      <w:proofErr w:type="gramStart"/>
      <w:r w:rsidR="00385575" w:rsidRPr="00C60AC8">
        <w:rPr>
          <w:rFonts w:ascii="Arial" w:hAnsi="Arial" w:cs="Arial"/>
          <w:iCs/>
          <w:sz w:val="20"/>
          <w:szCs w:val="20"/>
        </w:rPr>
        <w:t>is</w:t>
      </w:r>
      <w:proofErr w:type="gramEnd"/>
      <w:r w:rsidR="00385575" w:rsidRPr="00C60AC8">
        <w:rPr>
          <w:rFonts w:ascii="Arial" w:hAnsi="Arial" w:cs="Arial"/>
          <w:iCs/>
          <w:sz w:val="20"/>
          <w:szCs w:val="20"/>
        </w:rPr>
        <w:t xml:space="preserve"> acquired; </w:t>
      </w:r>
      <w:r w:rsidR="00385575" w:rsidRPr="00C60AC8">
        <w:rPr>
          <w:rFonts w:ascii="Arial" w:hAnsi="Arial" w:cs="Arial"/>
          <w:iCs/>
          <w:color w:val="000000"/>
          <w:sz w:val="20"/>
          <w:szCs w:val="20"/>
        </w:rPr>
        <w:t xml:space="preserve">(b) </w:t>
      </w:r>
      <w:r w:rsidR="00385575" w:rsidRPr="00C60AC8">
        <w:rPr>
          <w:rFonts w:ascii="Arial" w:hAnsi="Arial" w:cs="Arial"/>
          <w:iCs/>
          <w:sz w:val="20"/>
          <w:szCs w:val="20"/>
        </w:rPr>
        <w:t xml:space="preserve">a percentage of </w:t>
      </w:r>
      <w:r w:rsidR="00385575" w:rsidRPr="00C60AC8">
        <w:rPr>
          <w:rFonts w:ascii="Arial" w:hAnsi="Arial" w:cs="Arial"/>
          <w:iCs/>
          <w:color w:val="000000"/>
          <w:sz w:val="20"/>
          <w:szCs w:val="20"/>
        </w:rPr>
        <w:t>Licensee’s market capitalization for x days trailing post-IPO lockup; (c) a fixed dollar amount upon either of those events; or (d) a fixed dollar amount upon Licensee achieving and maintaining a valuation above a certain threshold in the public markets.</w:t>
      </w:r>
      <w:r w:rsidR="00C86D8B">
        <w:rPr>
          <w:rFonts w:ascii="Arial" w:hAnsi="Arial" w:cs="Arial"/>
          <w:iCs/>
          <w:color w:val="000000"/>
          <w:sz w:val="20"/>
          <w:szCs w:val="20"/>
        </w:rPr>
        <w:t xml:space="preserve">  Later-stage companies will not view equity and anti-dilution, or success fees, in the same way as start-ups. </w:t>
      </w:r>
    </w:p>
  </w:footnote>
  <w:footnote w:id="10">
    <w:p w14:paraId="62037549" w14:textId="3FCF4296" w:rsidR="00923819" w:rsidRPr="00C60AC8" w:rsidRDefault="00923819">
      <w:pPr>
        <w:pStyle w:val="FootnoteText"/>
        <w:rPr>
          <w:rFonts w:ascii="Arial" w:hAnsi="Arial" w:cs="Arial"/>
        </w:rPr>
      </w:pPr>
      <w:r w:rsidRPr="00C60AC8">
        <w:rPr>
          <w:rStyle w:val="FootnoteReference"/>
          <w:rFonts w:ascii="Arial" w:hAnsi="Arial" w:cs="Arial"/>
        </w:rPr>
        <w:footnoteRef/>
      </w:r>
      <w:r w:rsidRPr="00C60AC8">
        <w:rPr>
          <w:rFonts w:ascii="Arial" w:hAnsi="Arial" w:cs="Arial"/>
        </w:rPr>
        <w:t xml:space="preserve"> </w:t>
      </w:r>
      <w:r w:rsidR="00905475" w:rsidRPr="00C60AC8">
        <w:rPr>
          <w:rFonts w:ascii="Arial" w:hAnsi="Arial" w:cs="Arial"/>
        </w:rPr>
        <w:t>S</w:t>
      </w:r>
      <w:r w:rsidRPr="00C60AC8">
        <w:rPr>
          <w:rFonts w:ascii="Arial" w:hAnsi="Arial" w:cs="Arial"/>
        </w:rPr>
        <w:t>ome universities may have a separate entity that holds equity in startups on behalf of the university</w:t>
      </w:r>
      <w:r w:rsidR="009079B3" w:rsidRPr="00C60AC8">
        <w:rPr>
          <w:rFonts w:ascii="Arial" w:hAnsi="Arial" w:cs="Arial"/>
        </w:rPr>
        <w:t>, in which case such entity should be named here instead of the Licensor</w:t>
      </w:r>
      <w:r w:rsidRPr="00C60AC8">
        <w:rPr>
          <w:rFonts w:ascii="Arial" w:hAnsi="Arial" w:cs="Arial"/>
        </w:rPr>
        <w:t>.</w:t>
      </w:r>
      <w:r w:rsidR="004C41FD" w:rsidRPr="00C60AC8">
        <w:rPr>
          <w:rFonts w:ascii="Arial" w:hAnsi="Arial" w:cs="Arial"/>
        </w:rPr>
        <w:t xml:space="preserve"> </w:t>
      </w:r>
    </w:p>
  </w:footnote>
  <w:footnote w:id="11">
    <w:p w14:paraId="000000F4" w14:textId="7564E3FB" w:rsidR="00D21497" w:rsidRPr="00C60AC8" w:rsidRDefault="00D21497">
      <w:pPr>
        <w:pBdr>
          <w:top w:val="nil"/>
          <w:left w:val="nil"/>
          <w:bottom w:val="nil"/>
          <w:right w:val="nil"/>
          <w:between w:val="nil"/>
        </w:pBdr>
        <w:rPr>
          <w:rFonts w:ascii="Arial" w:hAnsi="Arial" w:cs="Arial"/>
          <w:color w:val="000000"/>
          <w:sz w:val="20"/>
          <w:szCs w:val="20"/>
        </w:rPr>
      </w:pPr>
      <w:r w:rsidRPr="00C60AC8">
        <w:rPr>
          <w:rStyle w:val="FootnoteReference"/>
          <w:rFonts w:ascii="Arial" w:hAnsi="Arial" w:cs="Arial"/>
          <w:sz w:val="20"/>
          <w:szCs w:val="20"/>
        </w:rPr>
        <w:footnoteRef/>
      </w:r>
      <w:r w:rsidRPr="00C60AC8">
        <w:rPr>
          <w:rFonts w:ascii="Arial" w:hAnsi="Arial" w:cs="Arial"/>
          <w:color w:val="000000"/>
          <w:sz w:val="20"/>
          <w:szCs w:val="20"/>
        </w:rPr>
        <w:t xml:space="preserve"> The parties will discuss whether a minimum financing size should be stipulated and </w:t>
      </w:r>
      <w:r w:rsidR="00EB1592" w:rsidRPr="00C60AC8">
        <w:rPr>
          <w:rFonts w:ascii="Arial" w:hAnsi="Arial" w:cs="Arial"/>
          <w:color w:val="000000"/>
          <w:sz w:val="20"/>
          <w:szCs w:val="20"/>
        </w:rPr>
        <w:t xml:space="preserve">the mechanics </w:t>
      </w:r>
      <w:r w:rsidR="00646940" w:rsidRPr="00C60AC8">
        <w:rPr>
          <w:rFonts w:ascii="Arial" w:hAnsi="Arial" w:cs="Arial"/>
          <w:color w:val="000000"/>
          <w:sz w:val="20"/>
          <w:szCs w:val="20"/>
        </w:rPr>
        <w:t>for</w:t>
      </w:r>
      <w:r w:rsidRPr="00C60AC8">
        <w:rPr>
          <w:rFonts w:ascii="Arial" w:hAnsi="Arial" w:cs="Arial"/>
          <w:color w:val="000000"/>
          <w:sz w:val="20"/>
          <w:szCs w:val="20"/>
        </w:rPr>
        <w:t xml:space="preserve"> a multi-tranche financing round (e.g.</w:t>
      </w:r>
      <w:r w:rsidR="003114B4" w:rsidRPr="00C60AC8">
        <w:rPr>
          <w:rFonts w:ascii="Arial" w:hAnsi="Arial" w:cs="Arial"/>
          <w:color w:val="000000"/>
          <w:sz w:val="20"/>
          <w:szCs w:val="20"/>
        </w:rPr>
        <w:t>,</w:t>
      </w:r>
      <w:r w:rsidRPr="00C60AC8">
        <w:rPr>
          <w:rFonts w:ascii="Arial" w:hAnsi="Arial" w:cs="Arial"/>
          <w:color w:val="000000"/>
          <w:sz w:val="20"/>
          <w:szCs w:val="20"/>
        </w:rPr>
        <w:t xml:space="preserve"> an allocable portion of the </w:t>
      </w:r>
      <w:r w:rsidR="00646940" w:rsidRPr="00C60AC8">
        <w:rPr>
          <w:rFonts w:ascii="Arial" w:hAnsi="Arial" w:cs="Arial"/>
          <w:color w:val="000000"/>
          <w:sz w:val="20"/>
          <w:szCs w:val="20"/>
        </w:rPr>
        <w:t>university’s equity is</w:t>
      </w:r>
      <w:r w:rsidR="00EB1592" w:rsidRPr="00C60AC8">
        <w:rPr>
          <w:rFonts w:ascii="Arial" w:hAnsi="Arial" w:cs="Arial"/>
          <w:color w:val="000000"/>
          <w:sz w:val="20"/>
          <w:szCs w:val="20"/>
        </w:rPr>
        <w:t xml:space="preserve"> </w:t>
      </w:r>
      <w:r w:rsidRPr="00C60AC8">
        <w:rPr>
          <w:rFonts w:ascii="Arial" w:hAnsi="Arial" w:cs="Arial"/>
          <w:color w:val="000000"/>
          <w:sz w:val="20"/>
          <w:szCs w:val="20"/>
        </w:rPr>
        <w:t>metered in at each tranche).</w:t>
      </w:r>
      <w:r w:rsidR="00D45CAE" w:rsidRPr="00C60AC8">
        <w:rPr>
          <w:rFonts w:ascii="Arial" w:hAnsi="Arial" w:cs="Arial"/>
          <w:color w:val="000000"/>
          <w:sz w:val="20"/>
          <w:szCs w:val="20"/>
        </w:rPr>
        <w:t xml:space="preserve"> </w:t>
      </w:r>
    </w:p>
  </w:footnote>
  <w:footnote w:id="12">
    <w:p w14:paraId="000000F5" w14:textId="3A8B118A" w:rsidR="00D21497" w:rsidRPr="00C60AC8" w:rsidRDefault="00D21497">
      <w:pPr>
        <w:pBdr>
          <w:top w:val="nil"/>
          <w:left w:val="nil"/>
          <w:bottom w:val="nil"/>
          <w:right w:val="nil"/>
          <w:between w:val="nil"/>
        </w:pBdr>
        <w:rPr>
          <w:rFonts w:ascii="Arial" w:hAnsi="Arial" w:cs="Arial"/>
          <w:color w:val="000000"/>
          <w:sz w:val="20"/>
          <w:szCs w:val="20"/>
        </w:rPr>
      </w:pPr>
      <w:r w:rsidRPr="00C60AC8">
        <w:rPr>
          <w:rStyle w:val="FootnoteReference"/>
          <w:rFonts w:ascii="Arial" w:hAnsi="Arial" w:cs="Arial"/>
          <w:sz w:val="20"/>
          <w:szCs w:val="20"/>
        </w:rPr>
        <w:footnoteRef/>
      </w:r>
      <w:r w:rsidRPr="00C60AC8">
        <w:rPr>
          <w:rFonts w:ascii="Arial" w:hAnsi="Arial" w:cs="Arial"/>
          <w:color w:val="000000"/>
          <w:sz w:val="20"/>
          <w:szCs w:val="20"/>
        </w:rPr>
        <w:t xml:space="preserve"> Some universities will delay issuance of all equity shares until the</w:t>
      </w:r>
      <w:r w:rsidR="000E7EA4" w:rsidRPr="00C60AC8">
        <w:rPr>
          <w:rFonts w:ascii="Arial" w:hAnsi="Arial" w:cs="Arial"/>
          <w:color w:val="000000"/>
          <w:sz w:val="20"/>
          <w:szCs w:val="20"/>
        </w:rPr>
        <w:t xml:space="preserve"> Dilution Cap</w:t>
      </w:r>
      <w:r w:rsidRPr="00C60AC8">
        <w:rPr>
          <w:rFonts w:ascii="Arial" w:hAnsi="Arial" w:cs="Arial"/>
          <w:color w:val="000000"/>
          <w:sz w:val="20"/>
          <w:szCs w:val="20"/>
        </w:rPr>
        <w:t xml:space="preserve"> has been met.</w:t>
      </w:r>
    </w:p>
  </w:footnote>
  <w:footnote w:id="13">
    <w:p w14:paraId="000000F6" w14:textId="47AFF90E" w:rsidR="00D21497" w:rsidRDefault="00D21497">
      <w:pPr>
        <w:pBdr>
          <w:top w:val="nil"/>
          <w:left w:val="nil"/>
          <w:bottom w:val="nil"/>
          <w:right w:val="nil"/>
          <w:between w:val="nil"/>
        </w:pBdr>
        <w:rPr>
          <w:color w:val="000000"/>
          <w:sz w:val="20"/>
          <w:szCs w:val="20"/>
        </w:rPr>
      </w:pPr>
      <w:r w:rsidRPr="00C60AC8">
        <w:rPr>
          <w:rStyle w:val="FootnoteReference"/>
          <w:rFonts w:ascii="Arial" w:hAnsi="Arial" w:cs="Arial"/>
          <w:sz w:val="20"/>
          <w:szCs w:val="20"/>
        </w:rPr>
        <w:footnoteRef/>
      </w:r>
      <w:r w:rsidRPr="00C60AC8">
        <w:rPr>
          <w:rFonts w:ascii="Arial" w:hAnsi="Arial" w:cs="Arial"/>
          <w:color w:val="000000"/>
          <w:sz w:val="20"/>
          <w:szCs w:val="20"/>
        </w:rPr>
        <w:t xml:space="preserve"> Few universities have the financial flexibility to participate in these investments within the time frame required. </w:t>
      </w:r>
      <w:r w:rsidR="00705909" w:rsidRPr="00C60AC8">
        <w:rPr>
          <w:rFonts w:ascii="Arial" w:hAnsi="Arial" w:cs="Arial"/>
          <w:color w:val="000000"/>
          <w:sz w:val="20"/>
          <w:szCs w:val="20"/>
        </w:rPr>
        <w:t>In</w:t>
      </w:r>
      <w:r w:rsidR="00AD3E1A" w:rsidRPr="00C60AC8">
        <w:rPr>
          <w:rFonts w:ascii="Arial" w:hAnsi="Arial" w:cs="Arial"/>
          <w:color w:val="000000"/>
          <w:sz w:val="20"/>
          <w:szCs w:val="20"/>
        </w:rPr>
        <w:t xml:space="preserve"> participating in an equity financing, they will be subject to terms </w:t>
      </w:r>
      <w:r w:rsidR="00664715" w:rsidRPr="00C60AC8">
        <w:rPr>
          <w:rFonts w:ascii="Arial" w:hAnsi="Arial" w:cs="Arial"/>
          <w:color w:val="000000"/>
          <w:sz w:val="20"/>
          <w:szCs w:val="20"/>
        </w:rPr>
        <w:t xml:space="preserve">that </w:t>
      </w:r>
      <w:r w:rsidR="00AD3E1A" w:rsidRPr="00C60AC8">
        <w:rPr>
          <w:rFonts w:ascii="Arial" w:hAnsi="Arial" w:cs="Arial"/>
          <w:color w:val="000000"/>
          <w:sz w:val="20"/>
          <w:szCs w:val="20"/>
        </w:rPr>
        <w:t xml:space="preserve">may be unattractive to them, e.g., pay-to-play (see </w:t>
      </w:r>
      <w:hyperlink r:id="rId1" w:history="1">
        <w:r w:rsidR="00AD3E1A" w:rsidRPr="00C60AC8">
          <w:rPr>
            <w:rStyle w:val="Hyperlink"/>
            <w:rFonts w:ascii="Arial" w:hAnsi="Arial" w:cs="Arial"/>
            <w:sz w:val="20"/>
            <w:szCs w:val="20"/>
          </w:rPr>
          <w:t xml:space="preserve">NVCA </w:t>
        </w:r>
        <w:r w:rsidR="00664715" w:rsidRPr="00C60AC8">
          <w:rPr>
            <w:rStyle w:val="Hyperlink"/>
            <w:rFonts w:ascii="Arial" w:hAnsi="Arial" w:cs="Arial"/>
            <w:sz w:val="20"/>
            <w:szCs w:val="20"/>
          </w:rPr>
          <w:t>M</w:t>
        </w:r>
        <w:r w:rsidR="00AD3E1A" w:rsidRPr="00C60AC8">
          <w:rPr>
            <w:rStyle w:val="Hyperlink"/>
            <w:rFonts w:ascii="Arial" w:hAnsi="Arial" w:cs="Arial"/>
            <w:sz w:val="20"/>
            <w:szCs w:val="20"/>
          </w:rPr>
          <w:t xml:space="preserve">odel </w:t>
        </w:r>
        <w:r w:rsidR="00664715" w:rsidRPr="00C60AC8">
          <w:rPr>
            <w:rStyle w:val="Hyperlink"/>
            <w:rFonts w:ascii="Arial" w:hAnsi="Arial" w:cs="Arial"/>
            <w:sz w:val="20"/>
            <w:szCs w:val="20"/>
          </w:rPr>
          <w:t>D</w:t>
        </w:r>
        <w:r w:rsidR="00AD3E1A" w:rsidRPr="00C60AC8">
          <w:rPr>
            <w:rStyle w:val="Hyperlink"/>
            <w:rFonts w:ascii="Arial" w:hAnsi="Arial" w:cs="Arial"/>
            <w:sz w:val="20"/>
            <w:szCs w:val="20"/>
          </w:rPr>
          <w:t>ocuments</w:t>
        </w:r>
      </w:hyperlink>
      <w:r w:rsidR="00AD3E1A" w:rsidRPr="00C60AC8">
        <w:rPr>
          <w:rFonts w:ascii="Arial" w:hAnsi="Arial" w:cs="Arial"/>
          <w:color w:val="000000"/>
          <w:sz w:val="20"/>
          <w:szCs w:val="20"/>
        </w:rPr>
        <w:t xml:space="preserve"> </w:t>
      </w:r>
      <w:r w:rsidR="00664715" w:rsidRPr="00C60AC8">
        <w:rPr>
          <w:rFonts w:ascii="Arial" w:hAnsi="Arial" w:cs="Arial"/>
          <w:color w:val="000000"/>
          <w:sz w:val="20"/>
          <w:szCs w:val="20"/>
        </w:rPr>
        <w:t xml:space="preserve">for details </w:t>
      </w:r>
      <w:r w:rsidR="00AD3E1A" w:rsidRPr="00C60AC8">
        <w:rPr>
          <w:rFonts w:ascii="Arial" w:hAnsi="Arial" w:cs="Arial"/>
          <w:color w:val="000000"/>
          <w:sz w:val="20"/>
          <w:szCs w:val="20"/>
        </w:rPr>
        <w:t xml:space="preserve">on </w:t>
      </w:r>
      <w:r w:rsidR="00664715" w:rsidRPr="00C60AC8">
        <w:rPr>
          <w:rFonts w:ascii="Arial" w:hAnsi="Arial" w:cs="Arial"/>
          <w:color w:val="000000"/>
          <w:sz w:val="20"/>
          <w:szCs w:val="20"/>
        </w:rPr>
        <w:t>P</w:t>
      </w:r>
      <w:r w:rsidR="00AD3E1A" w:rsidRPr="00C60AC8">
        <w:rPr>
          <w:rFonts w:ascii="Arial" w:hAnsi="Arial" w:cs="Arial"/>
          <w:color w:val="000000"/>
          <w:sz w:val="20"/>
          <w:szCs w:val="20"/>
        </w:rPr>
        <w:t>referred</w:t>
      </w:r>
      <w:r w:rsidR="00664715" w:rsidRPr="00C60AC8">
        <w:rPr>
          <w:rFonts w:ascii="Arial" w:hAnsi="Arial" w:cs="Arial"/>
          <w:color w:val="000000"/>
          <w:sz w:val="20"/>
          <w:szCs w:val="20"/>
        </w:rPr>
        <w:t xml:space="preserve"> Stock</w:t>
      </w:r>
      <w:r w:rsidR="00AD3E1A" w:rsidRPr="00C60AC8">
        <w:rPr>
          <w:rFonts w:ascii="Arial" w:hAnsi="Arial" w:cs="Arial"/>
          <w:color w:val="000000"/>
          <w:sz w:val="20"/>
          <w:szCs w:val="20"/>
        </w:rPr>
        <w:t xml:space="preserve"> financing terms</w:t>
      </w:r>
      <w:r w:rsidR="00664715" w:rsidRPr="00C60AC8">
        <w:rPr>
          <w:rFonts w:ascii="Arial" w:hAnsi="Arial" w:cs="Arial"/>
          <w:color w:val="000000"/>
          <w:sz w:val="20"/>
          <w:szCs w:val="20"/>
        </w:rPr>
        <w:t>.</w:t>
      </w:r>
      <w:r w:rsidR="00AD3E1A" w:rsidRPr="00C60AC8">
        <w:rPr>
          <w:rFonts w:ascii="Arial" w:hAnsi="Arial" w:cs="Arial"/>
          <w:color w:val="000000"/>
          <w:sz w:val="20"/>
          <w:szCs w:val="20"/>
        </w:rPr>
        <w:t xml:space="preserve">) </w:t>
      </w:r>
      <w:r w:rsidRPr="00C60AC8">
        <w:rPr>
          <w:rFonts w:ascii="Arial" w:hAnsi="Arial" w:cs="Arial"/>
          <w:color w:val="000000"/>
          <w:sz w:val="20"/>
          <w:szCs w:val="20"/>
        </w:rPr>
        <w:t xml:space="preserve">Accordingly, many universities have entered into agreements to transfer </w:t>
      </w:r>
      <w:r w:rsidR="00CD0CD5" w:rsidRPr="00C60AC8">
        <w:rPr>
          <w:rFonts w:ascii="Arial" w:hAnsi="Arial" w:cs="Arial"/>
          <w:color w:val="000000"/>
          <w:sz w:val="20"/>
          <w:szCs w:val="20"/>
        </w:rPr>
        <w:t xml:space="preserve">any such </w:t>
      </w:r>
      <w:r w:rsidRPr="00C60AC8">
        <w:rPr>
          <w:rFonts w:ascii="Arial" w:hAnsi="Arial" w:cs="Arial"/>
          <w:color w:val="000000"/>
          <w:sz w:val="20"/>
          <w:szCs w:val="20"/>
        </w:rPr>
        <w:t>preemptive rights</w:t>
      </w:r>
      <w:r w:rsidR="00F73319" w:rsidRPr="00C60AC8">
        <w:rPr>
          <w:rFonts w:ascii="Arial" w:hAnsi="Arial" w:cs="Arial"/>
          <w:color w:val="000000"/>
          <w:sz w:val="20"/>
          <w:szCs w:val="20"/>
        </w:rPr>
        <w:t xml:space="preserve"> </w:t>
      </w:r>
      <w:r w:rsidRPr="00C60AC8">
        <w:rPr>
          <w:rFonts w:ascii="Arial" w:hAnsi="Arial" w:cs="Arial"/>
          <w:color w:val="000000"/>
          <w:sz w:val="20"/>
          <w:szCs w:val="20"/>
        </w:rPr>
        <w:t>to Osage University Partners. Venture Capital investors may find this request difficult to accommodate in their standard syndicated financing rounds.</w:t>
      </w:r>
      <w:r>
        <w:rPr>
          <w:color w:val="000000"/>
          <w:sz w:val="20"/>
          <w:szCs w:val="20"/>
        </w:rPr>
        <w:t xml:space="preserve">   </w:t>
      </w:r>
    </w:p>
  </w:footnote>
  <w:footnote w:id="14">
    <w:p w14:paraId="1160B779" w14:textId="76B2FAC1" w:rsidR="00D21497" w:rsidRPr="00C60AC8" w:rsidRDefault="00D21497">
      <w:pPr>
        <w:pStyle w:val="FootnoteText"/>
        <w:rPr>
          <w:rFonts w:ascii="Arial" w:hAnsi="Arial" w:cs="Arial"/>
        </w:rPr>
      </w:pPr>
      <w:r w:rsidRPr="00C60AC8">
        <w:rPr>
          <w:rStyle w:val="FootnoteReference"/>
          <w:rFonts w:ascii="Arial" w:hAnsi="Arial" w:cs="Arial"/>
        </w:rPr>
        <w:footnoteRef/>
      </w:r>
      <w:r w:rsidRPr="00C60AC8">
        <w:rPr>
          <w:rFonts w:ascii="Arial" w:hAnsi="Arial" w:cs="Arial"/>
        </w:rPr>
        <w:t xml:space="preserve"> Large milestone payments can be difficult for even well-funded Licensees if Licensee has not yet partnered with or been acquired by Big Pharma.  Accordingly, Licensor may consider mechanisms to reduce the burden for Licensee before it has partnered or been acquired, e.g., (a) milestone payments start low but increase on partnering/acquisition or (b) x% of milestone payments can be deferred until Licensee is partnered/acquired.</w:t>
      </w:r>
    </w:p>
  </w:footnote>
  <w:footnote w:id="15">
    <w:p w14:paraId="000000F7" w14:textId="77777777" w:rsidR="00D21497" w:rsidRPr="00C60AC8" w:rsidRDefault="00D21497">
      <w:pPr>
        <w:pBdr>
          <w:top w:val="nil"/>
          <w:left w:val="nil"/>
          <w:bottom w:val="nil"/>
          <w:right w:val="nil"/>
          <w:between w:val="nil"/>
        </w:pBdr>
        <w:rPr>
          <w:rFonts w:ascii="Arial" w:hAnsi="Arial" w:cs="Arial"/>
          <w:color w:val="000000"/>
          <w:sz w:val="20"/>
          <w:szCs w:val="20"/>
        </w:rPr>
      </w:pPr>
      <w:r w:rsidRPr="00C60AC8">
        <w:rPr>
          <w:rStyle w:val="FootnoteReference"/>
          <w:rFonts w:ascii="Arial" w:hAnsi="Arial" w:cs="Arial"/>
          <w:sz w:val="20"/>
          <w:szCs w:val="20"/>
        </w:rPr>
        <w:footnoteRef/>
      </w:r>
      <w:r w:rsidRPr="00C60AC8">
        <w:rPr>
          <w:rFonts w:ascii="Arial" w:hAnsi="Arial" w:cs="Arial"/>
          <w:color w:val="000000"/>
          <w:sz w:val="20"/>
          <w:szCs w:val="20"/>
        </w:rPr>
        <w:t xml:space="preserve"> For platform technologies, there will often be a cap on the number of products for which these milestones apply.</w:t>
      </w:r>
    </w:p>
  </w:footnote>
  <w:footnote w:id="16">
    <w:p w14:paraId="000000F8" w14:textId="0EEA39D6" w:rsidR="00D21497" w:rsidRPr="00C60AC8" w:rsidRDefault="00D21497">
      <w:pPr>
        <w:pBdr>
          <w:top w:val="nil"/>
          <w:left w:val="nil"/>
          <w:bottom w:val="nil"/>
          <w:right w:val="nil"/>
          <w:between w:val="nil"/>
        </w:pBdr>
        <w:rPr>
          <w:rFonts w:ascii="Arial" w:hAnsi="Arial" w:cs="Arial"/>
          <w:color w:val="000000"/>
          <w:sz w:val="20"/>
          <w:szCs w:val="20"/>
        </w:rPr>
      </w:pPr>
      <w:r w:rsidRPr="00C60AC8">
        <w:rPr>
          <w:rStyle w:val="FootnoteReference"/>
          <w:rFonts w:ascii="Arial" w:hAnsi="Arial" w:cs="Arial"/>
          <w:sz w:val="20"/>
          <w:szCs w:val="20"/>
        </w:rPr>
        <w:footnoteRef/>
      </w:r>
      <w:r w:rsidRPr="00C60AC8">
        <w:rPr>
          <w:rFonts w:ascii="Arial" w:hAnsi="Arial" w:cs="Arial"/>
          <w:color w:val="000000"/>
          <w:sz w:val="20"/>
          <w:szCs w:val="20"/>
        </w:rPr>
        <w:t xml:space="preserve"> The number and type of milestones vary in each deal</w:t>
      </w:r>
      <w:r w:rsidR="00817408" w:rsidRPr="00C60AC8">
        <w:rPr>
          <w:rFonts w:ascii="Arial" w:hAnsi="Arial" w:cs="Arial"/>
          <w:color w:val="000000"/>
          <w:sz w:val="20"/>
          <w:szCs w:val="20"/>
        </w:rPr>
        <w:t>.</w:t>
      </w:r>
    </w:p>
  </w:footnote>
  <w:footnote w:id="17">
    <w:p w14:paraId="000000F9" w14:textId="6D786A9B" w:rsidR="00D21497" w:rsidRPr="00C60AC8" w:rsidRDefault="00D21497">
      <w:pPr>
        <w:pBdr>
          <w:top w:val="nil"/>
          <w:left w:val="nil"/>
          <w:bottom w:val="nil"/>
          <w:right w:val="nil"/>
          <w:between w:val="nil"/>
        </w:pBdr>
        <w:rPr>
          <w:rFonts w:ascii="Arial" w:hAnsi="Arial" w:cs="Arial"/>
          <w:color w:val="000000"/>
          <w:sz w:val="20"/>
          <w:szCs w:val="20"/>
        </w:rPr>
      </w:pPr>
      <w:r w:rsidRPr="00C60AC8">
        <w:rPr>
          <w:rStyle w:val="FootnoteReference"/>
          <w:rFonts w:ascii="Arial" w:hAnsi="Arial" w:cs="Arial"/>
          <w:sz w:val="20"/>
          <w:szCs w:val="20"/>
        </w:rPr>
        <w:footnoteRef/>
      </w:r>
      <w:r w:rsidRPr="00C60AC8">
        <w:rPr>
          <w:rFonts w:ascii="Arial" w:hAnsi="Arial" w:cs="Arial"/>
          <w:color w:val="000000"/>
          <w:sz w:val="20"/>
          <w:szCs w:val="20"/>
        </w:rPr>
        <w:t xml:space="preserve"> In selecting whether to use first, third or fifth subject</w:t>
      </w:r>
      <w:r w:rsidR="00CD0CD5" w:rsidRPr="00C60AC8">
        <w:rPr>
          <w:rFonts w:ascii="Arial" w:hAnsi="Arial" w:cs="Arial"/>
          <w:color w:val="000000"/>
          <w:sz w:val="20"/>
          <w:szCs w:val="20"/>
        </w:rPr>
        <w:t>,</w:t>
      </w:r>
      <w:r w:rsidRPr="00C60AC8">
        <w:rPr>
          <w:rFonts w:ascii="Arial" w:hAnsi="Arial" w:cs="Arial"/>
          <w:color w:val="000000"/>
          <w:sz w:val="20"/>
          <w:szCs w:val="20"/>
        </w:rPr>
        <w:t xml:space="preserve"> consider the modality of the product as well as the anticipated development timeline. The term “subject” is used instead of “patient” because all participants are subjects of a clinical trial but may not be patients. </w:t>
      </w:r>
    </w:p>
  </w:footnote>
  <w:footnote w:id="18">
    <w:p w14:paraId="3B4021D6" w14:textId="44F256D7" w:rsidR="006708C0" w:rsidRPr="00C60AC8" w:rsidRDefault="006708C0">
      <w:pPr>
        <w:pStyle w:val="FootnoteText"/>
        <w:rPr>
          <w:rFonts w:ascii="Arial" w:hAnsi="Arial" w:cs="Arial"/>
        </w:rPr>
      </w:pPr>
      <w:r w:rsidRPr="00C60AC8">
        <w:rPr>
          <w:rStyle w:val="FootnoteReference"/>
          <w:rFonts w:ascii="Arial" w:hAnsi="Arial" w:cs="Arial"/>
        </w:rPr>
        <w:footnoteRef/>
      </w:r>
      <w:r w:rsidR="00CD0CD5" w:rsidRPr="00C60AC8">
        <w:rPr>
          <w:rFonts w:ascii="Arial" w:hAnsi="Arial" w:cs="Arial"/>
        </w:rPr>
        <w:t xml:space="preserve"> T</w:t>
      </w:r>
      <w:r w:rsidRPr="00C60AC8">
        <w:rPr>
          <w:rFonts w:ascii="Arial" w:hAnsi="Arial" w:cs="Arial"/>
        </w:rPr>
        <w:t>iered royalty rates may be negotiated</w:t>
      </w:r>
      <w:r w:rsidR="00817408" w:rsidRPr="00C60AC8">
        <w:rPr>
          <w:rFonts w:ascii="Arial" w:hAnsi="Arial" w:cs="Arial"/>
        </w:rPr>
        <w:t>.</w:t>
      </w:r>
    </w:p>
  </w:footnote>
  <w:footnote w:id="19">
    <w:p w14:paraId="000000FA" w14:textId="77777777" w:rsidR="00D21497" w:rsidRDefault="00D21497">
      <w:pPr>
        <w:rPr>
          <w:sz w:val="20"/>
          <w:szCs w:val="20"/>
        </w:rPr>
      </w:pPr>
      <w:r w:rsidRPr="00C60AC8">
        <w:rPr>
          <w:rStyle w:val="FootnoteReference"/>
          <w:rFonts w:ascii="Arial" w:hAnsi="Arial" w:cs="Arial"/>
          <w:sz w:val="20"/>
          <w:szCs w:val="20"/>
        </w:rPr>
        <w:footnoteRef/>
      </w:r>
      <w:r w:rsidRPr="00C60AC8">
        <w:rPr>
          <w:rFonts w:ascii="Arial" w:hAnsi="Arial" w:cs="Arial"/>
          <w:sz w:val="20"/>
          <w:szCs w:val="20"/>
        </w:rPr>
        <w:t xml:space="preserve"> The deductions detailed here represent a tailored set of the typical deductions included in Big Pharma licenses, consistent with common commercial practices, </w:t>
      </w:r>
      <w:proofErr w:type="gramStart"/>
      <w:r w:rsidRPr="00C60AC8">
        <w:rPr>
          <w:rFonts w:ascii="Arial" w:hAnsi="Arial" w:cs="Arial"/>
          <w:sz w:val="20"/>
          <w:szCs w:val="20"/>
        </w:rPr>
        <w:t>in an effort to</w:t>
      </w:r>
      <w:proofErr w:type="gramEnd"/>
      <w:r w:rsidRPr="00C60AC8">
        <w:rPr>
          <w:rFonts w:ascii="Arial" w:hAnsi="Arial" w:cs="Arial"/>
          <w:sz w:val="20"/>
          <w:szCs w:val="20"/>
        </w:rPr>
        <w:t xml:space="preserve"> avoid future renegotiation</w:t>
      </w:r>
      <w:r>
        <w:rPr>
          <w:sz w:val="20"/>
          <w:szCs w:val="20"/>
        </w:rPr>
        <w:t xml:space="preserve">.  </w:t>
      </w:r>
    </w:p>
  </w:footnote>
  <w:footnote w:id="20">
    <w:p w14:paraId="000000FB" w14:textId="0CF8E230" w:rsidR="00D21497" w:rsidRPr="00C60AC8" w:rsidRDefault="00D21497">
      <w:pPr>
        <w:pBdr>
          <w:top w:val="nil"/>
          <w:left w:val="nil"/>
          <w:bottom w:val="nil"/>
          <w:right w:val="nil"/>
          <w:between w:val="nil"/>
        </w:pBdr>
        <w:rPr>
          <w:rFonts w:ascii="Arial" w:hAnsi="Arial" w:cs="Arial"/>
          <w:color w:val="000000"/>
          <w:sz w:val="20"/>
          <w:szCs w:val="20"/>
        </w:rPr>
      </w:pPr>
      <w:r w:rsidRPr="00C60AC8">
        <w:rPr>
          <w:rStyle w:val="FootnoteReference"/>
          <w:rFonts w:ascii="Arial" w:hAnsi="Arial" w:cs="Arial"/>
          <w:sz w:val="20"/>
          <w:szCs w:val="20"/>
        </w:rPr>
        <w:footnoteRef/>
      </w:r>
      <w:r w:rsidRPr="00C60AC8">
        <w:rPr>
          <w:rFonts w:ascii="Arial" w:hAnsi="Arial" w:cs="Arial"/>
          <w:color w:val="000000"/>
          <w:sz w:val="20"/>
          <w:szCs w:val="20"/>
        </w:rPr>
        <w:t xml:space="preserve"> “Weighted average” is used to </w:t>
      </w:r>
      <w:proofErr w:type="gramStart"/>
      <w:r w:rsidRPr="00C60AC8">
        <w:rPr>
          <w:rFonts w:ascii="Arial" w:hAnsi="Arial" w:cs="Arial"/>
          <w:color w:val="000000"/>
          <w:sz w:val="20"/>
          <w:szCs w:val="20"/>
        </w:rPr>
        <w:t>take into account</w:t>
      </w:r>
      <w:proofErr w:type="gramEnd"/>
      <w:r w:rsidRPr="00C60AC8">
        <w:rPr>
          <w:rFonts w:ascii="Arial" w:hAnsi="Arial" w:cs="Arial"/>
          <w:color w:val="000000"/>
          <w:sz w:val="20"/>
          <w:szCs w:val="20"/>
        </w:rPr>
        <w:t xml:space="preserve"> the volume of sales at different prices.  For example, products sold for $5 to one customer and $10 to another would have a flat average of $7.50, but if most products are sold at $10, the weighted average would capture that. </w:t>
      </w:r>
    </w:p>
  </w:footnote>
  <w:footnote w:id="21">
    <w:p w14:paraId="3A11F04E" w14:textId="29BD7652" w:rsidR="00B42FE6" w:rsidRPr="00B42FE6" w:rsidRDefault="00B42FE6">
      <w:pPr>
        <w:pStyle w:val="FootnoteText"/>
        <w:rPr>
          <w:rFonts w:ascii="Arial" w:hAnsi="Arial" w:cs="Arial"/>
        </w:rPr>
      </w:pPr>
      <w:r w:rsidRPr="00B42FE6">
        <w:rPr>
          <w:rStyle w:val="FootnoteReference"/>
          <w:rFonts w:ascii="Arial" w:hAnsi="Arial" w:cs="Arial"/>
        </w:rPr>
        <w:footnoteRef/>
      </w:r>
      <w:r w:rsidRPr="00B42FE6">
        <w:rPr>
          <w:rFonts w:ascii="Arial" w:hAnsi="Arial" w:cs="Arial"/>
        </w:rPr>
        <w:t xml:space="preserve"> In considering whether Regulatory Exclusivity will be included as a component of the Royalty Term, consider whether </w:t>
      </w:r>
      <w:r w:rsidR="00A479AA">
        <w:rPr>
          <w:rFonts w:ascii="Arial" w:hAnsi="Arial" w:cs="Arial"/>
        </w:rPr>
        <w:t xml:space="preserve">subsection </w:t>
      </w:r>
      <w:r w:rsidRPr="00B42FE6">
        <w:rPr>
          <w:rFonts w:ascii="Arial" w:hAnsi="Arial" w:cs="Arial"/>
        </w:rPr>
        <w:t xml:space="preserve">(c) will in any case run longer than any Regulatory Exclusivity (in which case it may not be necessary). Further, consider whether </w:t>
      </w:r>
      <w:r w:rsidR="000F61AF">
        <w:rPr>
          <w:rFonts w:ascii="Arial" w:hAnsi="Arial" w:cs="Arial"/>
        </w:rPr>
        <w:t xml:space="preserve">Regulatory Exclusivity </w:t>
      </w:r>
      <w:r w:rsidR="002F2E15">
        <w:rPr>
          <w:rFonts w:ascii="Arial" w:hAnsi="Arial" w:cs="Arial"/>
        </w:rPr>
        <w:t>should be included in the Royalty Term if the Licensed Technology does not support Regulatory Exclusivity</w:t>
      </w:r>
      <w:r w:rsidR="00A150EA" w:rsidRPr="00195754">
        <w:rPr>
          <w:rFonts w:ascii="Arial" w:hAnsi="Arial" w:cs="Arial"/>
        </w:rPr>
        <w:t>.</w:t>
      </w:r>
    </w:p>
  </w:footnote>
  <w:footnote w:id="22">
    <w:p w14:paraId="000000FC" w14:textId="1FFA5E42" w:rsidR="00D21497" w:rsidRPr="00C60AC8" w:rsidRDefault="00D21497">
      <w:pPr>
        <w:pBdr>
          <w:top w:val="nil"/>
          <w:left w:val="nil"/>
          <w:bottom w:val="nil"/>
          <w:right w:val="nil"/>
          <w:between w:val="nil"/>
        </w:pBdr>
        <w:rPr>
          <w:rFonts w:ascii="Arial" w:hAnsi="Arial" w:cs="Arial"/>
          <w:sz w:val="20"/>
          <w:szCs w:val="20"/>
        </w:rPr>
      </w:pPr>
      <w:r w:rsidRPr="00B42FE6">
        <w:rPr>
          <w:rStyle w:val="FootnoteReference"/>
          <w:rFonts w:ascii="Arial" w:hAnsi="Arial" w:cs="Arial"/>
          <w:sz w:val="20"/>
          <w:szCs w:val="20"/>
        </w:rPr>
        <w:footnoteRef/>
      </w:r>
      <w:r w:rsidRPr="00B42FE6">
        <w:rPr>
          <w:rFonts w:ascii="Arial" w:hAnsi="Arial" w:cs="Arial"/>
          <w:color w:val="000000"/>
          <w:sz w:val="20"/>
          <w:szCs w:val="20"/>
        </w:rPr>
        <w:t xml:space="preserve"> The Minimum Annual Royalty is intended to incent</w:t>
      </w:r>
      <w:r w:rsidRPr="00C60AC8">
        <w:rPr>
          <w:rFonts w:ascii="Arial" w:hAnsi="Arial" w:cs="Arial"/>
          <w:color w:val="000000"/>
          <w:sz w:val="20"/>
          <w:szCs w:val="20"/>
        </w:rPr>
        <w:t xml:space="preserve"> </w:t>
      </w:r>
      <w:r w:rsidR="006E0573" w:rsidRPr="00C60AC8">
        <w:rPr>
          <w:rFonts w:ascii="Arial" w:hAnsi="Arial" w:cs="Arial"/>
          <w:color w:val="000000"/>
          <w:sz w:val="20"/>
          <w:szCs w:val="20"/>
        </w:rPr>
        <w:t>L</w:t>
      </w:r>
      <w:r w:rsidRPr="00C60AC8">
        <w:rPr>
          <w:rFonts w:ascii="Arial" w:hAnsi="Arial" w:cs="Arial"/>
          <w:color w:val="000000"/>
          <w:sz w:val="20"/>
          <w:szCs w:val="20"/>
        </w:rPr>
        <w:t>icensee to diligently develop the technology. The number of years during which Annual Minimum Royalty is due reflects the anticipated time to first commercial sale.</w:t>
      </w:r>
    </w:p>
  </w:footnote>
  <w:footnote w:id="23">
    <w:p w14:paraId="06FAC38A" w14:textId="53D65562" w:rsidR="00817408" w:rsidRPr="00C60AC8" w:rsidRDefault="00817408" w:rsidP="00343820">
      <w:pPr>
        <w:pStyle w:val="FootnoteText"/>
        <w:rPr>
          <w:rFonts w:ascii="Arial" w:hAnsi="Arial" w:cs="Arial"/>
        </w:rPr>
      </w:pPr>
      <w:r w:rsidRPr="00C60AC8">
        <w:rPr>
          <w:rStyle w:val="FootnoteReference"/>
          <w:rFonts w:ascii="Arial" w:hAnsi="Arial" w:cs="Arial"/>
        </w:rPr>
        <w:footnoteRef/>
      </w:r>
      <w:r w:rsidRPr="00C60AC8">
        <w:rPr>
          <w:rFonts w:ascii="Arial" w:hAnsi="Arial" w:cs="Arial"/>
        </w:rPr>
        <w:t xml:space="preserve"> The parties may consider eliminating royalty stacking entirely in favor of a lower royalty rate.</w:t>
      </w:r>
    </w:p>
  </w:footnote>
  <w:footnote w:id="24">
    <w:p w14:paraId="0FBECBCA" w14:textId="186AFC4A" w:rsidR="00225867" w:rsidRPr="00C60AC8" w:rsidRDefault="00D21497">
      <w:pPr>
        <w:pStyle w:val="FootnoteText"/>
        <w:rPr>
          <w:rFonts w:ascii="Arial" w:hAnsi="Arial" w:cs="Arial"/>
        </w:rPr>
      </w:pPr>
      <w:r w:rsidRPr="00C60AC8">
        <w:rPr>
          <w:rStyle w:val="FootnoteReference"/>
          <w:rFonts w:ascii="Arial" w:hAnsi="Arial" w:cs="Arial"/>
        </w:rPr>
        <w:footnoteRef/>
      </w:r>
      <w:r w:rsidRPr="00C60AC8">
        <w:rPr>
          <w:rFonts w:ascii="Arial" w:hAnsi="Arial" w:cs="Arial"/>
        </w:rPr>
        <w:t xml:space="preserve"> A higher deduction may be negotiated if the total royalty burden is higher than 80% of the total royalties that Licensee would receive from sublicensees</w:t>
      </w:r>
      <w:r w:rsidR="00915456" w:rsidRPr="00C60AC8">
        <w:rPr>
          <w:rFonts w:ascii="Arial" w:hAnsi="Arial" w:cs="Arial"/>
        </w:rPr>
        <w:t>.</w:t>
      </w:r>
      <w:r w:rsidR="00541C59" w:rsidRPr="00C60AC8">
        <w:rPr>
          <w:rFonts w:ascii="Arial" w:hAnsi="Arial" w:cs="Arial"/>
        </w:rPr>
        <w:t xml:space="preserve">  Additionally, the royalty offset may include all payments, rather than just royalties.</w:t>
      </w:r>
    </w:p>
  </w:footnote>
  <w:footnote w:id="25">
    <w:p w14:paraId="274CFD19" w14:textId="2734A8F7" w:rsidR="00CD0CD5" w:rsidRPr="00C60AC8" w:rsidRDefault="00CD0CD5">
      <w:pPr>
        <w:pStyle w:val="FootnoteText"/>
        <w:rPr>
          <w:rFonts w:ascii="Arial" w:hAnsi="Arial" w:cs="Arial"/>
        </w:rPr>
      </w:pPr>
      <w:r w:rsidRPr="00C60AC8">
        <w:rPr>
          <w:rStyle w:val="FootnoteReference"/>
          <w:rFonts w:ascii="Arial" w:hAnsi="Arial" w:cs="Arial"/>
        </w:rPr>
        <w:footnoteRef/>
      </w:r>
      <w:r w:rsidRPr="00C60AC8">
        <w:rPr>
          <w:rFonts w:ascii="Arial" w:hAnsi="Arial" w:cs="Arial"/>
        </w:rPr>
        <w:t xml:space="preserve"> </w:t>
      </w:r>
      <w:r w:rsidR="003C55AD">
        <w:rPr>
          <w:rFonts w:ascii="Arial" w:hAnsi="Arial" w:cs="Arial"/>
        </w:rPr>
        <w:t>I</w:t>
      </w:r>
      <w:r w:rsidR="00541C59" w:rsidRPr="00C60AC8">
        <w:rPr>
          <w:rFonts w:ascii="Arial" w:hAnsi="Arial" w:cs="Arial"/>
        </w:rPr>
        <w:t>t is quite common for</w:t>
      </w:r>
      <w:r w:rsidR="003C55AD">
        <w:rPr>
          <w:rFonts w:ascii="Arial" w:hAnsi="Arial" w:cs="Arial"/>
        </w:rPr>
        <w:t xml:space="preserve"> licenses that have a sufficiently low</w:t>
      </w:r>
      <w:r w:rsidR="00541C59" w:rsidRPr="00C60AC8">
        <w:rPr>
          <w:rFonts w:ascii="Arial" w:hAnsi="Arial" w:cs="Arial"/>
        </w:rPr>
        <w:t xml:space="preserve"> royalty rate to not include anti-stacking provisions</w:t>
      </w:r>
      <w:r w:rsidR="004050F4">
        <w:rPr>
          <w:rFonts w:ascii="Arial" w:hAnsi="Arial" w:cs="Arial"/>
        </w:rPr>
        <w:t>;</w:t>
      </w:r>
      <w:r w:rsidR="00541C59" w:rsidRPr="00C60AC8">
        <w:rPr>
          <w:rFonts w:ascii="Arial" w:hAnsi="Arial" w:cs="Arial"/>
        </w:rPr>
        <w:t xml:space="preserve"> thus, by way of example, if a </w:t>
      </w:r>
      <w:proofErr w:type="gramStart"/>
      <w:r w:rsidR="00541C59" w:rsidRPr="00C60AC8">
        <w:rPr>
          <w:rFonts w:ascii="Arial" w:hAnsi="Arial" w:cs="Arial"/>
        </w:rPr>
        <w:t>third party</w:t>
      </w:r>
      <w:proofErr w:type="gramEnd"/>
      <w:r w:rsidR="00541C59" w:rsidRPr="00C60AC8">
        <w:rPr>
          <w:rFonts w:ascii="Arial" w:hAnsi="Arial" w:cs="Arial"/>
        </w:rPr>
        <w:t xml:space="preserve"> licensor is receiving a </w:t>
      </w:r>
      <w:r w:rsidR="003C55AD">
        <w:rPr>
          <w:rFonts w:ascii="Arial" w:hAnsi="Arial" w:cs="Arial"/>
        </w:rPr>
        <w:t>low</w:t>
      </w:r>
      <w:r w:rsidR="00541C59" w:rsidRPr="00C60AC8">
        <w:rPr>
          <w:rFonts w:ascii="Arial" w:hAnsi="Arial" w:cs="Arial"/>
        </w:rPr>
        <w:t xml:space="preserve"> royalty, such royalty payable to such third party licensor would be included within the </w:t>
      </w:r>
      <w:r w:rsidR="004050F4">
        <w:rPr>
          <w:rFonts w:ascii="Arial" w:hAnsi="Arial" w:cs="Arial"/>
        </w:rPr>
        <w:t>royalty stack</w:t>
      </w:r>
      <w:r w:rsidR="00541C59" w:rsidRPr="00C60AC8">
        <w:rPr>
          <w:rFonts w:ascii="Arial" w:hAnsi="Arial" w:cs="Arial"/>
        </w:rPr>
        <w:t>, regardless of whether the agreement with such third party licensor includes an anti-stacking provision.</w:t>
      </w:r>
      <w:r w:rsidR="004A1408" w:rsidRPr="00C60AC8">
        <w:rPr>
          <w:rFonts w:ascii="Arial" w:hAnsi="Arial" w:cs="Arial"/>
        </w:rPr>
        <w:t xml:space="preserve"> </w:t>
      </w:r>
      <w:r w:rsidR="004050F4">
        <w:rPr>
          <w:rFonts w:ascii="Arial" w:hAnsi="Arial" w:cs="Arial"/>
        </w:rPr>
        <w:t>T</w:t>
      </w:r>
      <w:r w:rsidR="004A1408" w:rsidRPr="00C60AC8">
        <w:rPr>
          <w:rFonts w:ascii="Arial" w:hAnsi="Arial" w:cs="Arial"/>
        </w:rPr>
        <w:t>h</w:t>
      </w:r>
      <w:r w:rsidR="004050F4">
        <w:rPr>
          <w:rFonts w:ascii="Arial" w:hAnsi="Arial" w:cs="Arial"/>
        </w:rPr>
        <w:t>is</w:t>
      </w:r>
      <w:r w:rsidR="004A1408" w:rsidRPr="00C60AC8">
        <w:rPr>
          <w:rFonts w:ascii="Arial" w:hAnsi="Arial" w:cs="Arial"/>
        </w:rPr>
        <w:t xml:space="preserve"> limitation only applies to exclusive licensors of intellectual property rights (not non-exclusive licensors).</w:t>
      </w:r>
    </w:p>
  </w:footnote>
  <w:footnote w:id="26">
    <w:p w14:paraId="241DA20A" w14:textId="2F24C69F" w:rsidR="00817408" w:rsidRPr="00C60AC8" w:rsidRDefault="00817408">
      <w:pPr>
        <w:pStyle w:val="FootnoteText"/>
        <w:rPr>
          <w:rFonts w:ascii="Arial" w:hAnsi="Arial" w:cs="Arial"/>
        </w:rPr>
      </w:pPr>
      <w:r w:rsidRPr="00C60AC8">
        <w:rPr>
          <w:rStyle w:val="FootnoteReference"/>
          <w:rFonts w:ascii="Arial" w:hAnsi="Arial" w:cs="Arial"/>
        </w:rPr>
        <w:footnoteRef/>
      </w:r>
      <w:r w:rsidRPr="00C60AC8">
        <w:rPr>
          <w:rFonts w:ascii="Arial" w:hAnsi="Arial" w:cs="Arial"/>
        </w:rPr>
        <w:t xml:space="preserve"> The parties may consider eliminating sublicensing consideration provisions entirely in favor of a </w:t>
      </w:r>
      <w:r w:rsidR="00B551CA" w:rsidRPr="00C60AC8">
        <w:rPr>
          <w:rFonts w:ascii="Arial" w:hAnsi="Arial" w:cs="Arial"/>
        </w:rPr>
        <w:t>higher</w:t>
      </w:r>
      <w:r w:rsidRPr="00C60AC8">
        <w:rPr>
          <w:rFonts w:ascii="Arial" w:hAnsi="Arial" w:cs="Arial"/>
        </w:rPr>
        <w:t xml:space="preserve"> </w:t>
      </w:r>
      <w:r w:rsidR="00915456" w:rsidRPr="00C60AC8">
        <w:rPr>
          <w:rFonts w:ascii="Arial" w:hAnsi="Arial" w:cs="Arial"/>
        </w:rPr>
        <w:t>royalty rate.</w:t>
      </w:r>
    </w:p>
  </w:footnote>
  <w:footnote w:id="27">
    <w:p w14:paraId="564FDB8B" w14:textId="060508FA" w:rsidR="00D21497" w:rsidRDefault="00D21497">
      <w:pPr>
        <w:pStyle w:val="FootnoteText"/>
      </w:pPr>
      <w:r w:rsidRPr="00C60AC8">
        <w:rPr>
          <w:rStyle w:val="FootnoteReference"/>
          <w:rFonts w:ascii="Arial" w:hAnsi="Arial" w:cs="Arial"/>
        </w:rPr>
        <w:footnoteRef/>
      </w:r>
      <w:r w:rsidRPr="00C60AC8">
        <w:rPr>
          <w:rFonts w:ascii="Arial" w:hAnsi="Arial" w:cs="Arial"/>
        </w:rPr>
        <w:t xml:space="preserve"> Alternatively, Licensor may negotiate a flat, but reduced, rate. The tiers are meant to reflect development stage of the Licensed </w:t>
      </w:r>
      <w:proofErr w:type="gramStart"/>
      <w:r w:rsidRPr="00C60AC8">
        <w:rPr>
          <w:rFonts w:ascii="Arial" w:hAnsi="Arial" w:cs="Arial"/>
        </w:rPr>
        <w:t>Product, and</w:t>
      </w:r>
      <w:proofErr w:type="gramEnd"/>
      <w:r w:rsidRPr="00C60AC8">
        <w:rPr>
          <w:rFonts w:ascii="Arial" w:hAnsi="Arial" w:cs="Arial"/>
        </w:rPr>
        <w:t xml:space="preserve"> will often match the diligence milestone tiers.</w:t>
      </w:r>
    </w:p>
  </w:footnote>
  <w:footnote w:id="28">
    <w:p w14:paraId="000000FD" w14:textId="36EBB20E" w:rsidR="00D21497" w:rsidRPr="00C60AC8" w:rsidRDefault="00D21497">
      <w:pPr>
        <w:pBdr>
          <w:top w:val="nil"/>
          <w:left w:val="nil"/>
          <w:bottom w:val="nil"/>
          <w:right w:val="nil"/>
          <w:between w:val="nil"/>
        </w:pBdr>
        <w:rPr>
          <w:rFonts w:ascii="Arial" w:hAnsi="Arial" w:cs="Arial"/>
          <w:sz w:val="20"/>
          <w:szCs w:val="20"/>
        </w:rPr>
      </w:pPr>
      <w:r w:rsidRPr="00C60AC8">
        <w:rPr>
          <w:rStyle w:val="FootnoteReference"/>
          <w:rFonts w:ascii="Arial" w:hAnsi="Arial" w:cs="Arial"/>
          <w:sz w:val="20"/>
          <w:szCs w:val="20"/>
        </w:rPr>
        <w:footnoteRef/>
      </w:r>
      <w:r w:rsidRPr="00C60AC8">
        <w:rPr>
          <w:rFonts w:ascii="Arial" w:hAnsi="Arial" w:cs="Arial"/>
          <w:color w:val="000000"/>
          <w:sz w:val="20"/>
          <w:szCs w:val="20"/>
        </w:rPr>
        <w:t xml:space="preserve"> The number and type of diligence milestones vary in each deal and should be based upon the development plan provided by Licensee.  If Big Pharma takes a sublicense, they will typically ask for a revision of the diligence milestone terms - e.g., they may agree to use </w:t>
      </w:r>
      <w:r w:rsidR="006E0573" w:rsidRPr="00C60AC8">
        <w:rPr>
          <w:rFonts w:ascii="Arial" w:hAnsi="Arial" w:cs="Arial"/>
          <w:color w:val="000000"/>
          <w:sz w:val="20"/>
          <w:szCs w:val="20"/>
        </w:rPr>
        <w:t>Commercially Reasonable Efforts</w:t>
      </w:r>
      <w:r w:rsidRPr="00C60AC8">
        <w:rPr>
          <w:rFonts w:ascii="Arial" w:hAnsi="Arial" w:cs="Arial"/>
          <w:color w:val="000000"/>
          <w:sz w:val="20"/>
          <w:szCs w:val="20"/>
        </w:rPr>
        <w:t xml:space="preserve"> to develop a Licensed Product, but will ask to remove specific diligence milestones, and Licensors will typically approve.</w:t>
      </w:r>
    </w:p>
  </w:footnote>
  <w:footnote w:id="29">
    <w:p w14:paraId="000000FF" w14:textId="5AE061E0" w:rsidR="00D21497" w:rsidRDefault="00D21497">
      <w:pPr>
        <w:pBdr>
          <w:top w:val="nil"/>
          <w:left w:val="nil"/>
          <w:bottom w:val="nil"/>
          <w:right w:val="nil"/>
          <w:between w:val="nil"/>
        </w:pBdr>
        <w:rPr>
          <w:color w:val="000000"/>
          <w:sz w:val="20"/>
          <w:szCs w:val="20"/>
        </w:rPr>
      </w:pPr>
      <w:r w:rsidRPr="00C60AC8">
        <w:rPr>
          <w:rStyle w:val="FootnoteReference"/>
          <w:rFonts w:ascii="Arial" w:hAnsi="Arial" w:cs="Arial"/>
          <w:sz w:val="20"/>
          <w:szCs w:val="20"/>
        </w:rPr>
        <w:footnoteRef/>
      </w:r>
      <w:r w:rsidRPr="00C60AC8">
        <w:rPr>
          <w:rFonts w:ascii="Arial" w:hAnsi="Arial" w:cs="Arial"/>
          <w:color w:val="000000"/>
          <w:sz w:val="20"/>
          <w:szCs w:val="20"/>
        </w:rPr>
        <w:t xml:space="preserve"> </w:t>
      </w:r>
      <w:proofErr w:type="gramStart"/>
      <w:r w:rsidRPr="00C60AC8">
        <w:rPr>
          <w:rFonts w:ascii="Arial" w:hAnsi="Arial" w:cs="Arial"/>
          <w:color w:val="000000"/>
          <w:sz w:val="20"/>
          <w:szCs w:val="20"/>
        </w:rPr>
        <w:t>Typically</w:t>
      </w:r>
      <w:proofErr w:type="gramEnd"/>
      <w:r w:rsidRPr="00C60AC8">
        <w:rPr>
          <w:rFonts w:ascii="Arial" w:hAnsi="Arial" w:cs="Arial"/>
          <w:color w:val="000000"/>
          <w:sz w:val="20"/>
          <w:szCs w:val="20"/>
        </w:rPr>
        <w:t xml:space="preserve"> universities will be reasonable in extending milestones for a defined period if Licensee provides adequate explanation and is continuing to be diligent in its pursuits</w:t>
      </w:r>
      <w:r w:rsidR="006E0573" w:rsidRPr="00C60AC8">
        <w:rPr>
          <w:rFonts w:ascii="Arial" w:hAnsi="Arial" w:cs="Arial"/>
          <w:color w:val="000000"/>
          <w:sz w:val="20"/>
          <w:szCs w:val="20"/>
        </w:rPr>
        <w:t xml:space="preserve">, </w:t>
      </w:r>
      <w:r w:rsidRPr="00C60AC8">
        <w:rPr>
          <w:rFonts w:ascii="Arial" w:hAnsi="Arial" w:cs="Arial"/>
          <w:color w:val="000000"/>
          <w:sz w:val="20"/>
          <w:szCs w:val="20"/>
        </w:rPr>
        <w:t>and typically will be open to waiving the fee for the first failure to meet a Diligence Milestone for a valid reason.</w:t>
      </w:r>
      <w:r>
        <w:rPr>
          <w:color w:val="000000"/>
          <w:sz w:val="20"/>
          <w:szCs w:val="20"/>
        </w:rPr>
        <w:t xml:space="preserve">  </w:t>
      </w:r>
    </w:p>
  </w:footnote>
  <w:footnote w:id="30">
    <w:p w14:paraId="00000100" w14:textId="77777777" w:rsidR="00D21497" w:rsidRPr="00C60AC8" w:rsidRDefault="00D21497">
      <w:pPr>
        <w:pBdr>
          <w:top w:val="nil"/>
          <w:left w:val="nil"/>
          <w:bottom w:val="nil"/>
          <w:right w:val="nil"/>
          <w:between w:val="nil"/>
        </w:pBdr>
        <w:rPr>
          <w:rFonts w:ascii="Arial" w:hAnsi="Arial" w:cs="Arial"/>
          <w:color w:val="000000"/>
          <w:sz w:val="20"/>
          <w:szCs w:val="20"/>
        </w:rPr>
      </w:pPr>
      <w:r w:rsidRPr="00C60AC8">
        <w:rPr>
          <w:rStyle w:val="FootnoteReference"/>
          <w:rFonts w:ascii="Arial" w:hAnsi="Arial" w:cs="Arial"/>
          <w:sz w:val="20"/>
          <w:szCs w:val="20"/>
        </w:rPr>
        <w:footnoteRef/>
      </w:r>
      <w:r w:rsidRPr="00C60AC8">
        <w:rPr>
          <w:rFonts w:ascii="Arial" w:hAnsi="Arial" w:cs="Arial"/>
          <w:color w:val="000000"/>
          <w:sz w:val="20"/>
          <w:szCs w:val="20"/>
        </w:rPr>
        <w:t xml:space="preserve"> Under Bayh-Dole, recipients of federal funding are required to provide notice prior to abandoning any U.S. patents or applications.</w:t>
      </w:r>
    </w:p>
  </w:footnote>
  <w:footnote w:id="31">
    <w:p w14:paraId="00000101" w14:textId="045CAF02" w:rsidR="00D21497" w:rsidRPr="00C60AC8" w:rsidRDefault="00D21497">
      <w:pPr>
        <w:pBdr>
          <w:top w:val="nil"/>
          <w:left w:val="nil"/>
          <w:bottom w:val="nil"/>
          <w:right w:val="nil"/>
          <w:between w:val="nil"/>
        </w:pBdr>
        <w:rPr>
          <w:rFonts w:ascii="Arial" w:hAnsi="Arial" w:cs="Arial"/>
          <w:color w:val="000000"/>
          <w:sz w:val="20"/>
          <w:szCs w:val="20"/>
        </w:rPr>
      </w:pPr>
      <w:r w:rsidRPr="00C60AC8">
        <w:rPr>
          <w:rStyle w:val="FootnoteReference"/>
          <w:rFonts w:ascii="Arial" w:hAnsi="Arial" w:cs="Arial"/>
          <w:sz w:val="20"/>
          <w:szCs w:val="20"/>
        </w:rPr>
        <w:footnoteRef/>
      </w:r>
      <w:r w:rsidRPr="00C60AC8">
        <w:rPr>
          <w:rFonts w:ascii="Arial" w:hAnsi="Arial" w:cs="Arial"/>
          <w:color w:val="000000"/>
          <w:sz w:val="20"/>
          <w:szCs w:val="20"/>
        </w:rPr>
        <w:t xml:space="preserve"> Payment terms will vary depending on the amount to be reimbursed and Licensee’s funding – e.g., if there were high IP costs pre-License, Licensee may work out a payment schedule.  </w:t>
      </w:r>
    </w:p>
  </w:footnote>
  <w:footnote w:id="32">
    <w:p w14:paraId="346AB591" w14:textId="729924F7" w:rsidR="00D21497" w:rsidRDefault="00D21497">
      <w:pPr>
        <w:pStyle w:val="FootnoteText"/>
      </w:pPr>
      <w:r w:rsidRPr="00C60AC8">
        <w:rPr>
          <w:rStyle w:val="FootnoteReference"/>
          <w:rFonts w:ascii="Arial" w:hAnsi="Arial" w:cs="Arial"/>
        </w:rPr>
        <w:footnoteRef/>
      </w:r>
      <w:r w:rsidRPr="00C60AC8">
        <w:rPr>
          <w:rFonts w:ascii="Arial" w:hAnsi="Arial" w:cs="Arial"/>
        </w:rPr>
        <w:t xml:space="preserve"> The parties may negotiate additional exclusions, and Licensor will be required to follow the policy of its Office of General Counsel in these matters.</w:t>
      </w:r>
      <w:r>
        <w:t xml:space="preserve"> </w:t>
      </w:r>
    </w:p>
  </w:footnote>
  <w:footnote w:id="33">
    <w:p w14:paraId="29029A62" w14:textId="6EB6BC25" w:rsidR="00D21497" w:rsidRPr="00C60AC8" w:rsidRDefault="00D21497">
      <w:pPr>
        <w:pStyle w:val="FootnoteText"/>
        <w:rPr>
          <w:rFonts w:ascii="Arial" w:hAnsi="Arial" w:cs="Arial"/>
        </w:rPr>
      </w:pPr>
      <w:r w:rsidRPr="00C60AC8">
        <w:rPr>
          <w:rStyle w:val="FootnoteReference"/>
          <w:rFonts w:ascii="Arial" w:hAnsi="Arial" w:cs="Arial"/>
        </w:rPr>
        <w:footnoteRef/>
      </w:r>
      <w:r w:rsidRPr="00C60AC8">
        <w:rPr>
          <w:rFonts w:ascii="Arial" w:hAnsi="Arial" w:cs="Arial"/>
        </w:rPr>
        <w:t xml:space="preserve"> These provisions are not included in the </w:t>
      </w:r>
      <w:r w:rsidR="009A4DDD">
        <w:rPr>
          <w:rFonts w:ascii="Arial" w:hAnsi="Arial" w:cs="Arial"/>
        </w:rPr>
        <w:t>T</w:t>
      </w:r>
      <w:r w:rsidRPr="00C60AC8">
        <w:rPr>
          <w:rFonts w:ascii="Arial" w:hAnsi="Arial" w:cs="Arial"/>
        </w:rPr>
        <w:t xml:space="preserve">erm </w:t>
      </w:r>
      <w:r w:rsidR="009A4DDD">
        <w:rPr>
          <w:rFonts w:ascii="Arial" w:hAnsi="Arial" w:cs="Arial"/>
        </w:rPr>
        <w:t>S</w:t>
      </w:r>
      <w:r w:rsidRPr="00C60AC8">
        <w:rPr>
          <w:rFonts w:ascii="Arial" w:hAnsi="Arial" w:cs="Arial"/>
        </w:rPr>
        <w:t xml:space="preserve">heet because each Licensor will be subject to the policies of its Office of General Counsel on these matters, and hence there are no “standard” terms. </w:t>
      </w:r>
    </w:p>
  </w:footnote>
  <w:footnote w:id="34">
    <w:p w14:paraId="7B49CE60" w14:textId="7B0F1029" w:rsidR="00D21497" w:rsidRDefault="00D21497">
      <w:pPr>
        <w:pStyle w:val="FootnoteText"/>
      </w:pPr>
      <w:r w:rsidRPr="00C60AC8">
        <w:rPr>
          <w:rStyle w:val="FootnoteReference"/>
          <w:rFonts w:ascii="Arial" w:hAnsi="Arial" w:cs="Arial"/>
        </w:rPr>
        <w:footnoteRef/>
      </w:r>
      <w:r w:rsidRPr="00C60AC8">
        <w:rPr>
          <w:rFonts w:ascii="Arial" w:hAnsi="Arial" w:cs="Arial"/>
        </w:rPr>
        <w:t xml:space="preserve"> Termination may not be enforceable. Licensors may seek meaningful penalties, up to and including termination of the License Agreement, for Licensee’s challenge to their patent position.</w:t>
      </w:r>
      <w:r>
        <w:t xml:space="preserve"> </w:t>
      </w:r>
    </w:p>
  </w:footnote>
  <w:footnote w:id="35">
    <w:p w14:paraId="153DE006" w14:textId="2348AF86" w:rsidR="00D21497" w:rsidRPr="00C60AC8" w:rsidRDefault="00D21497">
      <w:pPr>
        <w:pStyle w:val="FootnoteText"/>
        <w:rPr>
          <w:rFonts w:ascii="Arial" w:hAnsi="Arial" w:cs="Arial"/>
        </w:rPr>
      </w:pPr>
      <w:r w:rsidRPr="00C60AC8">
        <w:rPr>
          <w:rStyle w:val="FootnoteReference"/>
          <w:rFonts w:ascii="Arial" w:hAnsi="Arial" w:cs="Arial"/>
        </w:rPr>
        <w:footnoteRef/>
      </w:r>
      <w:r w:rsidRPr="00C60AC8">
        <w:rPr>
          <w:rFonts w:ascii="Arial" w:hAnsi="Arial" w:cs="Arial"/>
        </w:rPr>
        <w:t xml:space="preserve"> Factors to consider in granting licensor/licensee first right of enforcement: identity of licens</w:t>
      </w:r>
      <w:r w:rsidR="00DB1D64">
        <w:rPr>
          <w:rFonts w:ascii="Arial" w:hAnsi="Arial" w:cs="Arial"/>
        </w:rPr>
        <w:t>ee</w:t>
      </w:r>
      <w:r w:rsidRPr="00C60AC8">
        <w:rPr>
          <w:rFonts w:ascii="Arial" w:hAnsi="Arial" w:cs="Arial"/>
        </w:rPr>
        <w:t xml:space="preserve"> (e.g., big pharma vs. startup; financial stability; level of sophistication; potential infringers; public relations consequences; conflicts of interests for the university)</w:t>
      </w:r>
    </w:p>
  </w:footnote>
  <w:footnote w:id="36">
    <w:p w14:paraId="1980C9D4" w14:textId="3F8B292A" w:rsidR="004F39B3" w:rsidRDefault="004F39B3">
      <w:pPr>
        <w:pStyle w:val="FootnoteText"/>
      </w:pPr>
      <w:r w:rsidRPr="00C60AC8">
        <w:rPr>
          <w:rStyle w:val="FootnoteReference"/>
          <w:rFonts w:ascii="Arial" w:hAnsi="Arial" w:cs="Arial"/>
        </w:rPr>
        <w:footnoteRef/>
      </w:r>
      <w:r w:rsidRPr="00C60AC8">
        <w:rPr>
          <w:rFonts w:ascii="Arial" w:hAnsi="Arial" w:cs="Arial"/>
        </w:rPr>
        <w:t xml:space="preserve"> Note that the joined party may require a joint defense and representation agreement.</w:t>
      </w:r>
    </w:p>
  </w:footnote>
  <w:footnote w:id="37">
    <w:p w14:paraId="3D620DAB" w14:textId="604B6A11" w:rsidR="00043C69" w:rsidRPr="00043C69" w:rsidRDefault="00043C69">
      <w:pPr>
        <w:pStyle w:val="FootnoteText"/>
        <w:rPr>
          <w:rFonts w:ascii="Arial" w:hAnsi="Arial" w:cs="Arial"/>
        </w:rPr>
      </w:pPr>
      <w:r w:rsidRPr="00043C69">
        <w:rPr>
          <w:rStyle w:val="FootnoteReference"/>
          <w:rFonts w:ascii="Arial" w:hAnsi="Arial" w:cs="Arial"/>
        </w:rPr>
        <w:footnoteRef/>
      </w:r>
      <w:r w:rsidRPr="00043C69">
        <w:rPr>
          <w:rFonts w:ascii="Arial" w:hAnsi="Arial" w:cs="Arial"/>
        </w:rPr>
        <w:t xml:space="preserve"> </w:t>
      </w:r>
      <w:bookmarkStart w:id="4" w:name="_Hlk119077211"/>
      <w:r w:rsidRPr="00043C69">
        <w:rPr>
          <w:rFonts w:ascii="Arial" w:hAnsi="Arial" w:cs="Arial"/>
        </w:rPr>
        <w:t xml:space="preserve">Some </w:t>
      </w:r>
      <w:r w:rsidR="00A479AA">
        <w:rPr>
          <w:rFonts w:ascii="Arial" w:hAnsi="Arial" w:cs="Arial"/>
        </w:rPr>
        <w:t>licensees</w:t>
      </w:r>
      <w:r>
        <w:rPr>
          <w:rFonts w:ascii="Arial" w:hAnsi="Arial" w:cs="Arial"/>
        </w:rPr>
        <w:t xml:space="preserve"> will be reluctant to include this section</w:t>
      </w:r>
      <w:r w:rsidR="000F61AF">
        <w:rPr>
          <w:rFonts w:ascii="Arial" w:hAnsi="Arial" w:cs="Arial"/>
        </w:rPr>
        <w:t>,</w:t>
      </w:r>
      <w:r w:rsidR="006E1635">
        <w:rPr>
          <w:rFonts w:ascii="Arial" w:hAnsi="Arial" w:cs="Arial"/>
        </w:rPr>
        <w:t xml:space="preserve"> </w:t>
      </w:r>
      <w:r w:rsidR="000F61AF">
        <w:rPr>
          <w:rFonts w:ascii="Arial" w:hAnsi="Arial" w:cs="Arial"/>
        </w:rPr>
        <w:t>depending on their business model</w:t>
      </w:r>
      <w:bookmarkEnd w:id="4"/>
      <w:r>
        <w:rPr>
          <w:rFonts w:ascii="Arial" w:hAnsi="Arial" w:cs="Arial"/>
        </w:rPr>
        <w:t>.</w:t>
      </w:r>
    </w:p>
  </w:footnote>
  <w:footnote w:id="38">
    <w:p w14:paraId="606FC428" w14:textId="035F6D23" w:rsidR="007C6730" w:rsidRDefault="007C6730">
      <w:pPr>
        <w:pStyle w:val="FootnoteText"/>
      </w:pPr>
      <w:r>
        <w:rPr>
          <w:rStyle w:val="FootnoteReference"/>
        </w:rPr>
        <w:footnoteRef/>
      </w:r>
      <w:r>
        <w:t xml:space="preserve"> Consider including that Licensor would reasonably cooperate with Licensee in seeking a waiver of the requirement to substantially manufacture in the United States if reasonably requested by Licensee.</w:t>
      </w:r>
    </w:p>
  </w:footnote>
  <w:footnote w:id="39">
    <w:p w14:paraId="36EEDCE9" w14:textId="3DFF003C" w:rsidR="00926B63" w:rsidRPr="00C60AC8" w:rsidRDefault="00926B63">
      <w:pPr>
        <w:pStyle w:val="FootnoteText"/>
        <w:rPr>
          <w:rFonts w:ascii="Arial" w:hAnsi="Arial" w:cs="Arial"/>
        </w:rPr>
      </w:pPr>
      <w:r w:rsidRPr="00C60AC8">
        <w:rPr>
          <w:rStyle w:val="FootnoteReference"/>
          <w:rFonts w:ascii="Arial" w:hAnsi="Arial" w:cs="Arial"/>
        </w:rPr>
        <w:footnoteRef/>
      </w:r>
      <w:r w:rsidRPr="00C60AC8">
        <w:rPr>
          <w:rFonts w:ascii="Arial" w:hAnsi="Arial" w:cs="Arial"/>
        </w:rPr>
        <w:t xml:space="preserve"> This is an effort to minimize the friction, </w:t>
      </w:r>
      <w:proofErr w:type="gramStart"/>
      <w:r w:rsidRPr="00C60AC8">
        <w:rPr>
          <w:rFonts w:ascii="Arial" w:hAnsi="Arial" w:cs="Arial"/>
        </w:rPr>
        <w:t>time</w:t>
      </w:r>
      <w:proofErr w:type="gramEnd"/>
      <w:r w:rsidRPr="00C60AC8">
        <w:rPr>
          <w:rFonts w:ascii="Arial" w:hAnsi="Arial" w:cs="Arial"/>
        </w:rPr>
        <w:t xml:space="preserve"> and cost of dispute resolution, without straying too far afield of market norms.  Expedited AAA procedures are appropriate where no discovery is necessary; otherwise, that can be perceived as unfair to a party that has an information disadvantage.  The standard AAA timelines result in a dispute being resolved no sooner than 258 days post-filing.  We deem that unacceptably long, and believe the parties are not jeopardized by shorter timelines. Some university Offices of General Counsel will not agree to arbitration.</w:t>
      </w:r>
    </w:p>
  </w:footnote>
  <w:footnote w:id="40">
    <w:p w14:paraId="11D160FA" w14:textId="474DE163" w:rsidR="00D21497" w:rsidRPr="00C60AC8" w:rsidRDefault="00D21497">
      <w:pPr>
        <w:pStyle w:val="FootnoteText"/>
        <w:rPr>
          <w:rFonts w:ascii="Arial" w:hAnsi="Arial" w:cs="Arial"/>
        </w:rPr>
      </w:pPr>
      <w:r w:rsidRPr="00C60AC8">
        <w:rPr>
          <w:rStyle w:val="FootnoteReference"/>
          <w:rFonts w:ascii="Arial" w:hAnsi="Arial" w:cs="Arial"/>
        </w:rPr>
        <w:footnoteRef/>
      </w:r>
      <w:r w:rsidRPr="00C60AC8">
        <w:rPr>
          <w:rFonts w:ascii="Arial" w:hAnsi="Arial" w:cs="Arial"/>
        </w:rPr>
        <w:t xml:space="preserve"> Certain institutions will be required by statute to use the laws of their state as</w:t>
      </w:r>
      <w:r w:rsidR="001C610E" w:rsidRPr="00C60AC8">
        <w:rPr>
          <w:rFonts w:ascii="Arial" w:hAnsi="Arial" w:cs="Arial"/>
        </w:rPr>
        <w:t xml:space="preserve"> g</w:t>
      </w:r>
      <w:r w:rsidRPr="00C60AC8">
        <w:rPr>
          <w:rFonts w:ascii="Arial" w:hAnsi="Arial" w:cs="Arial"/>
        </w:rPr>
        <w:t xml:space="preserve">overning </w:t>
      </w:r>
      <w:r w:rsidR="001C610E" w:rsidRPr="00C60AC8">
        <w:rPr>
          <w:rFonts w:ascii="Arial" w:hAnsi="Arial" w:cs="Arial"/>
        </w:rPr>
        <w:t>l</w:t>
      </w:r>
      <w:r w:rsidRPr="00C60AC8">
        <w:rPr>
          <w:rFonts w:ascii="Arial" w:hAnsi="Arial" w:cs="Arial"/>
        </w:rPr>
        <w:t>aw.</w:t>
      </w:r>
      <w:r w:rsidR="00DA4BEB" w:rsidRPr="00C60AC8">
        <w:rPr>
          <w:rFonts w:ascii="Arial" w:hAnsi="Arial" w:cs="Arial"/>
        </w:rPr>
        <w:t xml:space="preserve"> Where the parties are not able to agree, they may</w:t>
      </w:r>
      <w:r w:rsidR="00DB1D64">
        <w:rPr>
          <w:rFonts w:ascii="Arial" w:hAnsi="Arial" w:cs="Arial"/>
        </w:rPr>
        <w:t xml:space="preserve"> simply omit this clause</w:t>
      </w:r>
      <w:r w:rsidR="00EB630B" w:rsidRPr="00C60AC8">
        <w:rPr>
          <w:rFonts w:ascii="Arial" w:hAnsi="Arial" w:cs="Arial"/>
        </w:rPr>
        <w:t>.</w:t>
      </w:r>
      <w:r w:rsidR="00474625" w:rsidRPr="00C60AC8">
        <w:rPr>
          <w:rFonts w:ascii="Arial" w:hAnsi="Arial" w:cs="Arial"/>
        </w:rPr>
        <w:t xml:space="preserve"> </w:t>
      </w:r>
      <w:r w:rsidR="001C610E" w:rsidRPr="00C60AC8">
        <w:rPr>
          <w:rFonts w:ascii="Arial" w:hAnsi="Arial" w:cs="Arial"/>
        </w:rPr>
        <w:t xml:space="preserve"> </w:t>
      </w:r>
    </w:p>
  </w:footnote>
  <w:footnote w:id="41">
    <w:p w14:paraId="00000102" w14:textId="35B876DC" w:rsidR="00562D67" w:rsidRDefault="00562D67">
      <w:pPr>
        <w:rPr>
          <w:sz w:val="20"/>
          <w:szCs w:val="20"/>
        </w:rPr>
      </w:pPr>
      <w:r w:rsidRPr="00C60AC8">
        <w:rPr>
          <w:rStyle w:val="FootnoteReference"/>
          <w:rFonts w:ascii="Arial" w:hAnsi="Arial" w:cs="Arial"/>
        </w:rPr>
        <w:footnoteRef/>
      </w:r>
      <w:r w:rsidRPr="00C60AC8">
        <w:rPr>
          <w:rFonts w:ascii="Arial" w:hAnsi="Arial" w:cs="Arial"/>
          <w:sz w:val="20"/>
          <w:szCs w:val="20"/>
        </w:rPr>
        <w:t xml:space="preserve"> Consider whether there are related companies that may meet the definition of Affiliates but should be explicitly excluded (e.g.</w:t>
      </w:r>
      <w:r w:rsidR="00110EFA" w:rsidRPr="00C60AC8">
        <w:rPr>
          <w:rFonts w:ascii="Arial" w:hAnsi="Arial" w:cs="Arial"/>
          <w:sz w:val="20"/>
          <w:szCs w:val="20"/>
        </w:rPr>
        <w:t>,</w:t>
      </w:r>
      <w:r w:rsidRPr="00C60AC8">
        <w:rPr>
          <w:rFonts w:ascii="Arial" w:hAnsi="Arial" w:cs="Arial"/>
          <w:sz w:val="20"/>
          <w:szCs w:val="20"/>
        </w:rPr>
        <w:t xml:space="preserve"> LLC holding company structures, spin out companies). </w:t>
      </w:r>
      <w:r w:rsidR="00A005D5" w:rsidRPr="00C60AC8">
        <w:rPr>
          <w:rFonts w:ascii="Arial" w:hAnsi="Arial" w:cs="Arial"/>
          <w:sz w:val="20"/>
          <w:szCs w:val="20"/>
        </w:rPr>
        <w:t>Conversely</w:t>
      </w:r>
      <w:r w:rsidR="00C01AEE" w:rsidRPr="00C60AC8">
        <w:rPr>
          <w:rFonts w:ascii="Arial" w:hAnsi="Arial" w:cs="Arial"/>
          <w:sz w:val="20"/>
          <w:szCs w:val="20"/>
        </w:rPr>
        <w:t>,</w:t>
      </w:r>
      <w:r w:rsidRPr="00C60AC8">
        <w:rPr>
          <w:rFonts w:ascii="Arial" w:hAnsi="Arial" w:cs="Arial"/>
          <w:sz w:val="20"/>
          <w:szCs w:val="20"/>
        </w:rPr>
        <w:t xml:space="preserve"> consider whether there are other entities that should be named as Affiliates – e.g.</w:t>
      </w:r>
      <w:r w:rsidR="00110EFA" w:rsidRPr="00C60AC8">
        <w:rPr>
          <w:rFonts w:ascii="Arial" w:hAnsi="Arial" w:cs="Arial"/>
          <w:sz w:val="20"/>
          <w:szCs w:val="20"/>
        </w:rPr>
        <w:t>,</w:t>
      </w:r>
      <w:r w:rsidRPr="00C60AC8">
        <w:rPr>
          <w:rFonts w:ascii="Arial" w:hAnsi="Arial" w:cs="Arial"/>
          <w:sz w:val="20"/>
          <w:szCs w:val="20"/>
        </w:rPr>
        <w:t xml:space="preserve"> affiliated hospitals in the case of Licensor.</w:t>
      </w:r>
      <w:r>
        <w:rPr>
          <w:sz w:val="20"/>
          <w:szCs w:val="20"/>
        </w:rPr>
        <w:t xml:space="preserve"> </w:t>
      </w:r>
    </w:p>
  </w:footnote>
  <w:footnote w:id="42">
    <w:p w14:paraId="0C6F1E23" w14:textId="328DD72B" w:rsidR="00562D67" w:rsidRPr="00C60AC8" w:rsidRDefault="00562D67">
      <w:pPr>
        <w:pStyle w:val="FootnoteText"/>
        <w:rPr>
          <w:rFonts w:ascii="Arial" w:hAnsi="Arial" w:cs="Arial"/>
        </w:rPr>
      </w:pPr>
      <w:r w:rsidRPr="00C60AC8">
        <w:rPr>
          <w:rStyle w:val="FootnoteReference"/>
          <w:rFonts w:ascii="Arial" w:hAnsi="Arial" w:cs="Arial"/>
        </w:rPr>
        <w:footnoteRef/>
      </w:r>
      <w:r w:rsidRPr="00C60AC8">
        <w:rPr>
          <w:rFonts w:ascii="Arial" w:hAnsi="Arial" w:cs="Arial"/>
        </w:rPr>
        <w:t xml:space="preserve"> </w:t>
      </w:r>
      <w:r w:rsidRPr="00C60AC8">
        <w:rPr>
          <w:rFonts w:ascii="Arial" w:hAnsi="Arial" w:cs="Arial"/>
          <w:color w:val="000000"/>
        </w:rPr>
        <w:t>In some cases, tangible know-how will be licensed, for which it</w:t>
      </w:r>
      <w:r w:rsidR="0055097C" w:rsidRPr="00C60AC8">
        <w:rPr>
          <w:rFonts w:ascii="Arial" w:hAnsi="Arial" w:cs="Arial"/>
          <w:color w:val="000000"/>
        </w:rPr>
        <w:t xml:space="preserve"> </w:t>
      </w:r>
      <w:r w:rsidRPr="00C60AC8">
        <w:rPr>
          <w:rFonts w:ascii="Arial" w:hAnsi="Arial" w:cs="Arial"/>
          <w:color w:val="000000"/>
        </w:rPr>
        <w:t>is appropriate to have royalties extend longer, e.g.</w:t>
      </w:r>
      <w:r w:rsidR="00732C84" w:rsidRPr="00C60AC8">
        <w:rPr>
          <w:rFonts w:ascii="Arial" w:hAnsi="Arial" w:cs="Arial"/>
          <w:color w:val="000000"/>
        </w:rPr>
        <w:t>,</w:t>
      </w:r>
      <w:r w:rsidRPr="00C60AC8">
        <w:rPr>
          <w:rFonts w:ascii="Arial" w:hAnsi="Arial" w:cs="Arial"/>
          <w:color w:val="000000"/>
        </w:rPr>
        <w:t xml:space="preserve"> cell lines.  This number should be linked to the diligence milestones, i.e</w:t>
      </w:r>
      <w:r w:rsidR="00CB46F8">
        <w:rPr>
          <w:rFonts w:ascii="Arial" w:hAnsi="Arial" w:cs="Arial"/>
          <w:color w:val="000000"/>
        </w:rPr>
        <w:t>.</w:t>
      </w:r>
      <w:r w:rsidRPr="00C60AC8">
        <w:rPr>
          <w:rFonts w:ascii="Arial" w:hAnsi="Arial" w:cs="Arial"/>
          <w:color w:val="000000"/>
        </w:rPr>
        <w:t xml:space="preserve"> if there is a diligence milestone to nominate a development candidate within 5 years, the term for this definition should also be 5 years.  This time limitation </w:t>
      </w:r>
      <w:proofErr w:type="gramStart"/>
      <w:r w:rsidRPr="00C60AC8">
        <w:rPr>
          <w:rFonts w:ascii="Arial" w:hAnsi="Arial" w:cs="Arial"/>
          <w:color w:val="000000"/>
        </w:rPr>
        <w:t>is based on the assumption</w:t>
      </w:r>
      <w:proofErr w:type="gramEnd"/>
      <w:r w:rsidRPr="00C60AC8">
        <w:rPr>
          <w:rFonts w:ascii="Arial" w:hAnsi="Arial" w:cs="Arial"/>
          <w:color w:val="000000"/>
        </w:rPr>
        <w:t xml:space="preserve"> that most of the value of know-how is transferred during the first five years post-License Agreement.</w:t>
      </w:r>
    </w:p>
  </w:footnote>
  <w:footnote w:id="43">
    <w:p w14:paraId="2179745E" w14:textId="4CC06F5C" w:rsidR="008E40F2" w:rsidRDefault="008E40F2">
      <w:pPr>
        <w:pStyle w:val="FootnoteText"/>
      </w:pPr>
      <w:r>
        <w:rPr>
          <w:rStyle w:val="FootnoteReference"/>
        </w:rPr>
        <w:footnoteRef/>
      </w:r>
      <w:r>
        <w:t xml:space="preserve"> The square brackets have been inserted so that the parties can consider whether a good faith dispute by Licensee/Sublicensee regarding the scope of the Licensed Patents (for purposes of determining whether a product is a Patent Product for which payments are owed under this Agreement) falls within the ambit of a “Patent Challenge.”</w:t>
      </w:r>
    </w:p>
  </w:footnote>
  <w:footnote w:id="44">
    <w:p w14:paraId="00000109" w14:textId="2BDA8094" w:rsidR="00562D67" w:rsidRPr="00BB0919" w:rsidRDefault="00562D67">
      <w:pPr>
        <w:pBdr>
          <w:top w:val="nil"/>
          <w:left w:val="nil"/>
          <w:bottom w:val="nil"/>
          <w:right w:val="nil"/>
          <w:between w:val="nil"/>
        </w:pBdr>
        <w:rPr>
          <w:rFonts w:ascii="Arial" w:hAnsi="Arial" w:cs="Arial"/>
          <w:color w:val="000000"/>
          <w:sz w:val="20"/>
          <w:szCs w:val="20"/>
        </w:rPr>
      </w:pPr>
      <w:r w:rsidRPr="00BB0919">
        <w:rPr>
          <w:rStyle w:val="FootnoteReference"/>
          <w:rFonts w:ascii="Arial" w:hAnsi="Arial" w:cs="Arial"/>
          <w:sz w:val="20"/>
          <w:szCs w:val="20"/>
        </w:rPr>
        <w:footnoteRef/>
      </w:r>
      <w:r w:rsidRPr="00BB0919">
        <w:rPr>
          <w:rFonts w:ascii="Arial" w:hAnsi="Arial" w:cs="Arial"/>
          <w:color w:val="000000"/>
          <w:sz w:val="20"/>
          <w:szCs w:val="20"/>
        </w:rPr>
        <w:t xml:space="preserve"> A Sublicense should clearly delineate what fees are received for R&amp;D activities.</w:t>
      </w:r>
      <w:r w:rsidR="00834BB3" w:rsidRPr="00BB0919">
        <w:rPr>
          <w:rFonts w:ascii="Arial" w:hAnsi="Arial" w:cs="Arial"/>
          <w:color w:val="000000"/>
          <w:sz w:val="20"/>
          <w:szCs w:val="20"/>
        </w:rPr>
        <w:t xml:space="preserve"> </w:t>
      </w:r>
      <w:r w:rsidR="00457082" w:rsidRPr="00BB0919">
        <w:rPr>
          <w:rFonts w:ascii="Arial" w:hAnsi="Arial" w:cs="Arial"/>
          <w:color w:val="000000"/>
          <w:sz w:val="20"/>
          <w:szCs w:val="20"/>
        </w:rPr>
        <w:t>S</w:t>
      </w:r>
      <w:r w:rsidR="00834BB3" w:rsidRPr="00BB0919">
        <w:rPr>
          <w:rFonts w:ascii="Arial" w:hAnsi="Arial" w:cs="Arial"/>
          <w:color w:val="000000"/>
          <w:sz w:val="20"/>
          <w:szCs w:val="20"/>
        </w:rPr>
        <w:t xml:space="preserve">ome universities restrict R&amp;D deductions to R&amp;D on the </w:t>
      </w:r>
      <w:r w:rsidR="00457082" w:rsidRPr="00BB0919">
        <w:rPr>
          <w:rFonts w:ascii="Arial" w:hAnsi="Arial" w:cs="Arial"/>
          <w:color w:val="000000"/>
          <w:sz w:val="20"/>
          <w:szCs w:val="20"/>
        </w:rPr>
        <w:t>L</w:t>
      </w:r>
      <w:r w:rsidR="00834BB3" w:rsidRPr="00BB0919">
        <w:rPr>
          <w:rFonts w:ascii="Arial" w:hAnsi="Arial" w:cs="Arial"/>
          <w:color w:val="000000"/>
          <w:sz w:val="20"/>
          <w:szCs w:val="20"/>
        </w:rPr>
        <w:t xml:space="preserve">icensed </w:t>
      </w:r>
      <w:r w:rsidR="00457082" w:rsidRPr="00BB0919">
        <w:rPr>
          <w:rFonts w:ascii="Arial" w:hAnsi="Arial" w:cs="Arial"/>
          <w:color w:val="000000"/>
          <w:sz w:val="20"/>
          <w:szCs w:val="20"/>
        </w:rPr>
        <w:t>P</w:t>
      </w:r>
      <w:r w:rsidR="00834BB3" w:rsidRPr="00BB0919">
        <w:rPr>
          <w:rFonts w:ascii="Arial" w:hAnsi="Arial" w:cs="Arial"/>
          <w:color w:val="000000"/>
          <w:sz w:val="20"/>
          <w:szCs w:val="20"/>
        </w:rPr>
        <w:t xml:space="preserve">roducts.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A" w14:textId="77777777" w:rsidR="00562D67" w:rsidRDefault="00562D67">
    <w:pPr>
      <w:widowControl w:val="0"/>
      <w:tabs>
        <w:tab w:val="left" w:pos="-720"/>
      </w:tabs>
      <w:jc w:val="center"/>
      <w:rPr>
        <w:rFonts w:ascii="Arial" w:eastAsia="Arial" w:hAnsi="Arial" w:cs="Arial"/>
        <w:b/>
      </w:rPr>
    </w:pPr>
  </w:p>
  <w:p w14:paraId="0000010B" w14:textId="77777777" w:rsidR="00562D67" w:rsidRDefault="00562D67">
    <w:pPr>
      <w:pBdr>
        <w:top w:val="nil"/>
        <w:left w:val="nil"/>
        <w:bottom w:val="nil"/>
        <w:right w:val="nil"/>
        <w:between w:val="nil"/>
      </w:pBdr>
      <w:tabs>
        <w:tab w:val="center" w:pos="4320"/>
        <w:tab w:val="right" w:pos="8640"/>
        <w:tab w:val="left" w:pos="3795"/>
      </w:tabs>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44D20"/>
    <w:multiLevelType w:val="hybridMultilevel"/>
    <w:tmpl w:val="F3F6E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31E6D"/>
    <w:multiLevelType w:val="multilevel"/>
    <w:tmpl w:val="C3867EA0"/>
    <w:lvl w:ilvl="0">
      <w:start w:val="1"/>
      <w:numFmt w:val="bullet"/>
      <w:pStyle w:val="Heading1"/>
      <w:lvlText w:val="●"/>
      <w:lvlJc w:val="left"/>
      <w:pPr>
        <w:ind w:left="720" w:hanging="360"/>
      </w:pPr>
      <w:rPr>
        <w:rFonts w:ascii="Noto Sans Symbols" w:eastAsia="Noto Sans Symbols" w:hAnsi="Noto Sans Symbols" w:cs="Noto Sans Symbols"/>
      </w:rPr>
    </w:lvl>
    <w:lvl w:ilvl="1">
      <w:start w:val="1"/>
      <w:numFmt w:val="bullet"/>
      <w:pStyle w:val="Heading2"/>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73D5ECD"/>
    <w:multiLevelType w:val="multilevel"/>
    <w:tmpl w:val="665C67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FCA7996"/>
    <w:multiLevelType w:val="multilevel"/>
    <w:tmpl w:val="748C88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CB26A6"/>
    <w:multiLevelType w:val="hybridMultilevel"/>
    <w:tmpl w:val="BC9C6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90697B"/>
    <w:multiLevelType w:val="multilevel"/>
    <w:tmpl w:val="C93A5CA2"/>
    <w:lvl w:ilvl="0">
      <w:start w:val="1"/>
      <w:numFmt w:val="decimal"/>
      <w:lvlText w:val="%1"/>
      <w:lvlJc w:val="left"/>
      <w:pPr>
        <w:tabs>
          <w:tab w:val="num" w:pos="522"/>
        </w:tabs>
        <w:ind w:left="522" w:hanging="432"/>
      </w:pPr>
      <w:rPr>
        <w:rFonts w:hint="default"/>
        <w:b/>
        <w:i w:val="0"/>
        <w:sz w:val="24"/>
        <w:u w:val="none"/>
      </w:rPr>
    </w:lvl>
    <w:lvl w:ilvl="1">
      <w:start w:val="1"/>
      <w:numFmt w:val="decimal"/>
      <w:lvlText w:val="%1.%2"/>
      <w:lvlJc w:val="left"/>
      <w:pPr>
        <w:tabs>
          <w:tab w:val="num" w:pos="576"/>
        </w:tabs>
        <w:ind w:left="720" w:hanging="720"/>
      </w:pPr>
      <w:rPr>
        <w:rFonts w:hint="default"/>
        <w:b w:val="0"/>
        <w:i w:val="0"/>
        <w:sz w:val="24"/>
        <w:u w:val="none"/>
      </w:rPr>
    </w:lvl>
    <w:lvl w:ilvl="2">
      <w:start w:val="1"/>
      <w:numFmt w:val="decimal"/>
      <w:lvlText w:val="%1.%2.%3"/>
      <w:lvlJc w:val="left"/>
      <w:pPr>
        <w:tabs>
          <w:tab w:val="num" w:pos="720"/>
        </w:tabs>
        <w:ind w:left="720" w:hanging="720"/>
      </w:pPr>
      <w:rPr>
        <w:rFonts w:hint="default"/>
        <w:b w:val="0"/>
        <w:i w:val="0"/>
        <w:sz w:val="24"/>
        <w:u w:val="none"/>
      </w:rPr>
    </w:lvl>
    <w:lvl w:ilvl="3">
      <w:start w:val="1"/>
      <w:numFmt w:val="decimal"/>
      <w:lvlText w:val="%1.%2.%3.%4"/>
      <w:lvlJc w:val="left"/>
      <w:pPr>
        <w:tabs>
          <w:tab w:val="num" w:pos="864"/>
        </w:tabs>
        <w:ind w:left="864" w:hanging="864"/>
      </w:pPr>
      <w:rPr>
        <w:rFonts w:hint="default"/>
        <w:b w:val="0"/>
        <w:i w:val="0"/>
        <w:u w:val="none"/>
      </w:rPr>
    </w:lvl>
    <w:lvl w:ilvl="4">
      <w:start w:val="1"/>
      <w:numFmt w:val="decimal"/>
      <w:lvlText w:val="%1.%2.%3.%4.%5"/>
      <w:lvlJc w:val="left"/>
      <w:pPr>
        <w:tabs>
          <w:tab w:val="num" w:pos="1008"/>
        </w:tabs>
        <w:ind w:left="1008" w:hanging="1008"/>
      </w:pPr>
      <w:rPr>
        <w:rFonts w:hint="default"/>
        <w:u w:val="single"/>
      </w:rPr>
    </w:lvl>
    <w:lvl w:ilvl="5">
      <w:start w:val="1"/>
      <w:numFmt w:val="decimal"/>
      <w:lvlText w:val="%1.%2.%3.%4.%5.%6"/>
      <w:lvlJc w:val="left"/>
      <w:pPr>
        <w:tabs>
          <w:tab w:val="num" w:pos="1152"/>
        </w:tabs>
        <w:ind w:left="1152" w:hanging="1152"/>
      </w:pPr>
      <w:rPr>
        <w:rFonts w:hint="default"/>
        <w:u w:val="single"/>
      </w:rPr>
    </w:lvl>
    <w:lvl w:ilvl="6">
      <w:start w:val="1"/>
      <w:numFmt w:val="decimal"/>
      <w:lvlText w:val="%1.%2.%3.%4.%5.%6.%7"/>
      <w:lvlJc w:val="left"/>
      <w:pPr>
        <w:tabs>
          <w:tab w:val="num" w:pos="1296"/>
        </w:tabs>
        <w:ind w:left="1296" w:hanging="1296"/>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584"/>
        </w:tabs>
        <w:ind w:left="1584" w:hanging="1584"/>
      </w:pPr>
      <w:rPr>
        <w:rFonts w:hint="default"/>
        <w:u w:val="single"/>
      </w:rPr>
    </w:lvl>
  </w:abstractNum>
  <w:abstractNum w:abstractNumId="6" w15:restartNumberingAfterBreak="0">
    <w:nsid w:val="1DFD21FA"/>
    <w:multiLevelType w:val="multilevel"/>
    <w:tmpl w:val="4BC8C0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102E74"/>
    <w:multiLevelType w:val="multilevel"/>
    <w:tmpl w:val="949CA3DA"/>
    <w:lvl w:ilvl="0">
      <w:start w:val="1"/>
      <w:numFmt w:val="lowerLetter"/>
      <w:lvlText w:val="(%1)"/>
      <w:lvlJc w:val="left"/>
      <w:pPr>
        <w:ind w:left="792" w:hanging="360"/>
      </w:pPr>
      <w:rPr>
        <w:color w:val="000000"/>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8" w15:restartNumberingAfterBreak="0">
    <w:nsid w:val="29182B01"/>
    <w:multiLevelType w:val="multilevel"/>
    <w:tmpl w:val="E0D29A28"/>
    <w:lvl w:ilvl="0">
      <w:start w:val="1"/>
      <w:numFmt w:val="lowerLetter"/>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9" w15:restartNumberingAfterBreak="0">
    <w:nsid w:val="2ECB5727"/>
    <w:multiLevelType w:val="multilevel"/>
    <w:tmpl w:val="949CA3DA"/>
    <w:lvl w:ilvl="0">
      <w:start w:val="1"/>
      <w:numFmt w:val="lowerLetter"/>
      <w:lvlText w:val="(%1)"/>
      <w:lvlJc w:val="left"/>
      <w:pPr>
        <w:ind w:left="792" w:hanging="360"/>
      </w:pPr>
      <w:rPr>
        <w:color w:val="000000"/>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10" w15:restartNumberingAfterBreak="0">
    <w:nsid w:val="4D8957C4"/>
    <w:multiLevelType w:val="multilevel"/>
    <w:tmpl w:val="8528B1B4"/>
    <w:lvl w:ilvl="0">
      <w:start w:val="1"/>
      <w:numFmt w:val="lowerLetter"/>
      <w:lvlText w:val="(%1)"/>
      <w:lvlJc w:val="left"/>
      <w:pPr>
        <w:ind w:left="792" w:hanging="360"/>
      </w:pPr>
      <w:rPr>
        <w:color w:val="000000"/>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11" w15:restartNumberingAfterBreak="0">
    <w:nsid w:val="6A4520E7"/>
    <w:multiLevelType w:val="multilevel"/>
    <w:tmpl w:val="E250C8EC"/>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2" w15:restartNumberingAfterBreak="0">
    <w:nsid w:val="70D02899"/>
    <w:multiLevelType w:val="multilevel"/>
    <w:tmpl w:val="53B00B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48280058">
    <w:abstractNumId w:val="2"/>
  </w:num>
  <w:num w:numId="2" w16cid:durableId="1384525170">
    <w:abstractNumId w:val="12"/>
  </w:num>
  <w:num w:numId="3" w16cid:durableId="1597981831">
    <w:abstractNumId w:val="1"/>
  </w:num>
  <w:num w:numId="4" w16cid:durableId="586770702">
    <w:abstractNumId w:val="7"/>
  </w:num>
  <w:num w:numId="5" w16cid:durableId="69278142">
    <w:abstractNumId w:val="8"/>
  </w:num>
  <w:num w:numId="6" w16cid:durableId="86385415">
    <w:abstractNumId w:val="10"/>
  </w:num>
  <w:num w:numId="7" w16cid:durableId="1061055757">
    <w:abstractNumId w:val="11"/>
  </w:num>
  <w:num w:numId="8" w16cid:durableId="1492329631">
    <w:abstractNumId w:val="4"/>
  </w:num>
  <w:num w:numId="9" w16cid:durableId="1107579644">
    <w:abstractNumId w:val="0"/>
  </w:num>
  <w:num w:numId="10" w16cid:durableId="1103575042">
    <w:abstractNumId w:val="5"/>
  </w:num>
  <w:num w:numId="11" w16cid:durableId="567542866">
    <w:abstractNumId w:val="9"/>
  </w:num>
  <w:num w:numId="12" w16cid:durableId="2078165583">
    <w:abstractNumId w:val="6"/>
  </w:num>
  <w:num w:numId="13" w16cid:durableId="3440647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DE5"/>
    <w:rsid w:val="000011C8"/>
    <w:rsid w:val="000018CF"/>
    <w:rsid w:val="000117E0"/>
    <w:rsid w:val="000145C7"/>
    <w:rsid w:val="000148F6"/>
    <w:rsid w:val="00014E80"/>
    <w:rsid w:val="00020791"/>
    <w:rsid w:val="0003037B"/>
    <w:rsid w:val="000315AC"/>
    <w:rsid w:val="00043C69"/>
    <w:rsid w:val="00045103"/>
    <w:rsid w:val="00050D99"/>
    <w:rsid w:val="00052B51"/>
    <w:rsid w:val="0005717D"/>
    <w:rsid w:val="00061043"/>
    <w:rsid w:val="0006219C"/>
    <w:rsid w:val="00072D83"/>
    <w:rsid w:val="000807D7"/>
    <w:rsid w:val="00093886"/>
    <w:rsid w:val="00095478"/>
    <w:rsid w:val="00095FDD"/>
    <w:rsid w:val="000A6325"/>
    <w:rsid w:val="000A6A3F"/>
    <w:rsid w:val="000B371A"/>
    <w:rsid w:val="000C2AE2"/>
    <w:rsid w:val="000C2AF6"/>
    <w:rsid w:val="000C3443"/>
    <w:rsid w:val="000C5D82"/>
    <w:rsid w:val="000D4259"/>
    <w:rsid w:val="000D6006"/>
    <w:rsid w:val="000D60B7"/>
    <w:rsid w:val="000E57B9"/>
    <w:rsid w:val="000E7EA4"/>
    <w:rsid w:val="000F61AF"/>
    <w:rsid w:val="000F6440"/>
    <w:rsid w:val="00104A79"/>
    <w:rsid w:val="00110EFA"/>
    <w:rsid w:val="00140543"/>
    <w:rsid w:val="001440E3"/>
    <w:rsid w:val="00152854"/>
    <w:rsid w:val="00161ED3"/>
    <w:rsid w:val="00162744"/>
    <w:rsid w:val="00173265"/>
    <w:rsid w:val="00176551"/>
    <w:rsid w:val="00177007"/>
    <w:rsid w:val="001872CD"/>
    <w:rsid w:val="00187342"/>
    <w:rsid w:val="00191C56"/>
    <w:rsid w:val="001929BB"/>
    <w:rsid w:val="00195754"/>
    <w:rsid w:val="001A0B8A"/>
    <w:rsid w:val="001A0D9A"/>
    <w:rsid w:val="001A1B77"/>
    <w:rsid w:val="001A29C8"/>
    <w:rsid w:val="001B415E"/>
    <w:rsid w:val="001C0664"/>
    <w:rsid w:val="001C0D79"/>
    <w:rsid w:val="001C33B3"/>
    <w:rsid w:val="001C610E"/>
    <w:rsid w:val="001E539E"/>
    <w:rsid w:val="001E5B7E"/>
    <w:rsid w:val="001F297E"/>
    <w:rsid w:val="001F619F"/>
    <w:rsid w:val="002045CA"/>
    <w:rsid w:val="00205412"/>
    <w:rsid w:val="00205956"/>
    <w:rsid w:val="00214805"/>
    <w:rsid w:val="0021656E"/>
    <w:rsid w:val="00222823"/>
    <w:rsid w:val="00225867"/>
    <w:rsid w:val="00226C5F"/>
    <w:rsid w:val="00230EFF"/>
    <w:rsid w:val="0024016A"/>
    <w:rsid w:val="0024050D"/>
    <w:rsid w:val="00240DDF"/>
    <w:rsid w:val="00242184"/>
    <w:rsid w:val="0024437E"/>
    <w:rsid w:val="00244610"/>
    <w:rsid w:val="00256254"/>
    <w:rsid w:val="002658FE"/>
    <w:rsid w:val="00280054"/>
    <w:rsid w:val="00281F65"/>
    <w:rsid w:val="00285CA4"/>
    <w:rsid w:val="002866CC"/>
    <w:rsid w:val="00293296"/>
    <w:rsid w:val="00294844"/>
    <w:rsid w:val="002A032E"/>
    <w:rsid w:val="002A258E"/>
    <w:rsid w:val="002C0923"/>
    <w:rsid w:val="002C339A"/>
    <w:rsid w:val="002D52F1"/>
    <w:rsid w:val="002D7F7D"/>
    <w:rsid w:val="002E07D5"/>
    <w:rsid w:val="002E77C0"/>
    <w:rsid w:val="002F2E15"/>
    <w:rsid w:val="00303832"/>
    <w:rsid w:val="003114B4"/>
    <w:rsid w:val="00311DFF"/>
    <w:rsid w:val="003130BA"/>
    <w:rsid w:val="0031393D"/>
    <w:rsid w:val="00324232"/>
    <w:rsid w:val="00333B93"/>
    <w:rsid w:val="003406DA"/>
    <w:rsid w:val="0034283F"/>
    <w:rsid w:val="00343820"/>
    <w:rsid w:val="00345B7C"/>
    <w:rsid w:val="00347D53"/>
    <w:rsid w:val="0035472A"/>
    <w:rsid w:val="0035689D"/>
    <w:rsid w:val="00357CBD"/>
    <w:rsid w:val="00363616"/>
    <w:rsid w:val="00367C47"/>
    <w:rsid w:val="00371C0C"/>
    <w:rsid w:val="003771A2"/>
    <w:rsid w:val="00385575"/>
    <w:rsid w:val="00391AFC"/>
    <w:rsid w:val="003A2362"/>
    <w:rsid w:val="003A6377"/>
    <w:rsid w:val="003B5FA1"/>
    <w:rsid w:val="003B6076"/>
    <w:rsid w:val="003B6778"/>
    <w:rsid w:val="003C55AD"/>
    <w:rsid w:val="003C6135"/>
    <w:rsid w:val="003C6D15"/>
    <w:rsid w:val="003D33C2"/>
    <w:rsid w:val="003D652C"/>
    <w:rsid w:val="003D658B"/>
    <w:rsid w:val="003D68D2"/>
    <w:rsid w:val="003E16EC"/>
    <w:rsid w:val="003F201D"/>
    <w:rsid w:val="004035D7"/>
    <w:rsid w:val="004050F4"/>
    <w:rsid w:val="00420686"/>
    <w:rsid w:val="00433694"/>
    <w:rsid w:val="00435082"/>
    <w:rsid w:val="004400D3"/>
    <w:rsid w:val="0044084D"/>
    <w:rsid w:val="0044225E"/>
    <w:rsid w:val="00443E33"/>
    <w:rsid w:val="00454521"/>
    <w:rsid w:val="00457082"/>
    <w:rsid w:val="004615D2"/>
    <w:rsid w:val="00464CF7"/>
    <w:rsid w:val="00465159"/>
    <w:rsid w:val="00470CBC"/>
    <w:rsid w:val="0047342D"/>
    <w:rsid w:val="00474625"/>
    <w:rsid w:val="0047564F"/>
    <w:rsid w:val="004800EE"/>
    <w:rsid w:val="00482325"/>
    <w:rsid w:val="004841CA"/>
    <w:rsid w:val="00485009"/>
    <w:rsid w:val="00494E2A"/>
    <w:rsid w:val="00495F81"/>
    <w:rsid w:val="00496A29"/>
    <w:rsid w:val="0049707E"/>
    <w:rsid w:val="004A1408"/>
    <w:rsid w:val="004A5DD0"/>
    <w:rsid w:val="004A718D"/>
    <w:rsid w:val="004B596A"/>
    <w:rsid w:val="004B74D7"/>
    <w:rsid w:val="004C079C"/>
    <w:rsid w:val="004C41FD"/>
    <w:rsid w:val="004D7D26"/>
    <w:rsid w:val="004E5C35"/>
    <w:rsid w:val="004F39B3"/>
    <w:rsid w:val="00506FCC"/>
    <w:rsid w:val="00510E38"/>
    <w:rsid w:val="00517029"/>
    <w:rsid w:val="00522AA5"/>
    <w:rsid w:val="00527238"/>
    <w:rsid w:val="00534D1F"/>
    <w:rsid w:val="00537042"/>
    <w:rsid w:val="00537DEE"/>
    <w:rsid w:val="00541C59"/>
    <w:rsid w:val="005424B3"/>
    <w:rsid w:val="005434AA"/>
    <w:rsid w:val="00543644"/>
    <w:rsid w:val="00547200"/>
    <w:rsid w:val="0055097C"/>
    <w:rsid w:val="0055272D"/>
    <w:rsid w:val="00554C46"/>
    <w:rsid w:val="00555548"/>
    <w:rsid w:val="005555D3"/>
    <w:rsid w:val="00562D67"/>
    <w:rsid w:val="00566951"/>
    <w:rsid w:val="00572F50"/>
    <w:rsid w:val="00577054"/>
    <w:rsid w:val="00577F0F"/>
    <w:rsid w:val="005803A8"/>
    <w:rsid w:val="00585C0A"/>
    <w:rsid w:val="00587E97"/>
    <w:rsid w:val="00592F4F"/>
    <w:rsid w:val="0059564A"/>
    <w:rsid w:val="00597B8A"/>
    <w:rsid w:val="005A126D"/>
    <w:rsid w:val="005A3A1C"/>
    <w:rsid w:val="005B4F42"/>
    <w:rsid w:val="005B5F5B"/>
    <w:rsid w:val="005C6F0D"/>
    <w:rsid w:val="005D6D5B"/>
    <w:rsid w:val="005E3B83"/>
    <w:rsid w:val="005E5B35"/>
    <w:rsid w:val="005E6652"/>
    <w:rsid w:val="005E6DD3"/>
    <w:rsid w:val="005F08D0"/>
    <w:rsid w:val="005F1309"/>
    <w:rsid w:val="005F1AAC"/>
    <w:rsid w:val="00602015"/>
    <w:rsid w:val="00605784"/>
    <w:rsid w:val="00611CB7"/>
    <w:rsid w:val="00611D6E"/>
    <w:rsid w:val="006130F6"/>
    <w:rsid w:val="006149A8"/>
    <w:rsid w:val="00615162"/>
    <w:rsid w:val="0062071D"/>
    <w:rsid w:val="00620E6A"/>
    <w:rsid w:val="00621C7B"/>
    <w:rsid w:val="00624A7B"/>
    <w:rsid w:val="00626F96"/>
    <w:rsid w:val="00632826"/>
    <w:rsid w:val="00632D7A"/>
    <w:rsid w:val="006438DC"/>
    <w:rsid w:val="00646940"/>
    <w:rsid w:val="00646A80"/>
    <w:rsid w:val="00646B7F"/>
    <w:rsid w:val="00664189"/>
    <w:rsid w:val="0066447A"/>
    <w:rsid w:val="00664715"/>
    <w:rsid w:val="00664FB9"/>
    <w:rsid w:val="006708C0"/>
    <w:rsid w:val="00670E2F"/>
    <w:rsid w:val="006723E7"/>
    <w:rsid w:val="006751C5"/>
    <w:rsid w:val="00677FEB"/>
    <w:rsid w:val="00681EE2"/>
    <w:rsid w:val="00691969"/>
    <w:rsid w:val="00694E11"/>
    <w:rsid w:val="006A262C"/>
    <w:rsid w:val="006B67BD"/>
    <w:rsid w:val="006C06D7"/>
    <w:rsid w:val="006C1E25"/>
    <w:rsid w:val="006C3E17"/>
    <w:rsid w:val="006C4D1F"/>
    <w:rsid w:val="006D4AD3"/>
    <w:rsid w:val="006E0573"/>
    <w:rsid w:val="006E1635"/>
    <w:rsid w:val="006E282A"/>
    <w:rsid w:val="007048F7"/>
    <w:rsid w:val="00705909"/>
    <w:rsid w:val="00707693"/>
    <w:rsid w:val="00711933"/>
    <w:rsid w:val="0072689B"/>
    <w:rsid w:val="00732C84"/>
    <w:rsid w:val="00736AFC"/>
    <w:rsid w:val="00736F45"/>
    <w:rsid w:val="00743166"/>
    <w:rsid w:val="00746974"/>
    <w:rsid w:val="00750483"/>
    <w:rsid w:val="00774DBC"/>
    <w:rsid w:val="0077561F"/>
    <w:rsid w:val="00775C2B"/>
    <w:rsid w:val="00777EE2"/>
    <w:rsid w:val="00783666"/>
    <w:rsid w:val="0078495D"/>
    <w:rsid w:val="00794678"/>
    <w:rsid w:val="007A3852"/>
    <w:rsid w:val="007C475D"/>
    <w:rsid w:val="007C6730"/>
    <w:rsid w:val="007D5483"/>
    <w:rsid w:val="007F3D04"/>
    <w:rsid w:val="008001F8"/>
    <w:rsid w:val="008005B7"/>
    <w:rsid w:val="0080163E"/>
    <w:rsid w:val="00817408"/>
    <w:rsid w:val="00817B36"/>
    <w:rsid w:val="0082130B"/>
    <w:rsid w:val="00825FD9"/>
    <w:rsid w:val="00826F1B"/>
    <w:rsid w:val="00827643"/>
    <w:rsid w:val="00830D66"/>
    <w:rsid w:val="00831362"/>
    <w:rsid w:val="008321AD"/>
    <w:rsid w:val="00834BB3"/>
    <w:rsid w:val="0083530F"/>
    <w:rsid w:val="008368C2"/>
    <w:rsid w:val="00843166"/>
    <w:rsid w:val="00843398"/>
    <w:rsid w:val="0085355C"/>
    <w:rsid w:val="0085481A"/>
    <w:rsid w:val="00855DEB"/>
    <w:rsid w:val="008619E7"/>
    <w:rsid w:val="00863620"/>
    <w:rsid w:val="0086441D"/>
    <w:rsid w:val="00865AEC"/>
    <w:rsid w:val="00872EDD"/>
    <w:rsid w:val="008736BD"/>
    <w:rsid w:val="008778F3"/>
    <w:rsid w:val="008814C2"/>
    <w:rsid w:val="00886867"/>
    <w:rsid w:val="00895C8D"/>
    <w:rsid w:val="008A256D"/>
    <w:rsid w:val="008B10A7"/>
    <w:rsid w:val="008B1583"/>
    <w:rsid w:val="008B4F5E"/>
    <w:rsid w:val="008C0FDC"/>
    <w:rsid w:val="008C30CE"/>
    <w:rsid w:val="008C61AD"/>
    <w:rsid w:val="008D0DE5"/>
    <w:rsid w:val="008D1CDD"/>
    <w:rsid w:val="008D34C8"/>
    <w:rsid w:val="008E2888"/>
    <w:rsid w:val="008E40F2"/>
    <w:rsid w:val="008E700C"/>
    <w:rsid w:val="008F4883"/>
    <w:rsid w:val="008F7707"/>
    <w:rsid w:val="00905475"/>
    <w:rsid w:val="009079B3"/>
    <w:rsid w:val="009131DE"/>
    <w:rsid w:val="00915456"/>
    <w:rsid w:val="00923819"/>
    <w:rsid w:val="00923D6B"/>
    <w:rsid w:val="00926B63"/>
    <w:rsid w:val="009334E6"/>
    <w:rsid w:val="00933AF0"/>
    <w:rsid w:val="00933E52"/>
    <w:rsid w:val="00937699"/>
    <w:rsid w:val="0094556A"/>
    <w:rsid w:val="00950F3B"/>
    <w:rsid w:val="009529E4"/>
    <w:rsid w:val="009546FD"/>
    <w:rsid w:val="00960410"/>
    <w:rsid w:val="00961D99"/>
    <w:rsid w:val="009624D4"/>
    <w:rsid w:val="0096548F"/>
    <w:rsid w:val="0096584E"/>
    <w:rsid w:val="00967A54"/>
    <w:rsid w:val="0097401B"/>
    <w:rsid w:val="00976EA1"/>
    <w:rsid w:val="009974C9"/>
    <w:rsid w:val="009A1665"/>
    <w:rsid w:val="009A4DDD"/>
    <w:rsid w:val="009B7F61"/>
    <w:rsid w:val="009D08A5"/>
    <w:rsid w:val="009D3B1E"/>
    <w:rsid w:val="009D482A"/>
    <w:rsid w:val="009E029F"/>
    <w:rsid w:val="009E24EB"/>
    <w:rsid w:val="009F1067"/>
    <w:rsid w:val="009F1100"/>
    <w:rsid w:val="009F2436"/>
    <w:rsid w:val="00A005D5"/>
    <w:rsid w:val="00A0293B"/>
    <w:rsid w:val="00A0359E"/>
    <w:rsid w:val="00A0362C"/>
    <w:rsid w:val="00A062D1"/>
    <w:rsid w:val="00A06A4C"/>
    <w:rsid w:val="00A11F23"/>
    <w:rsid w:val="00A150EA"/>
    <w:rsid w:val="00A15857"/>
    <w:rsid w:val="00A237D0"/>
    <w:rsid w:val="00A25F80"/>
    <w:rsid w:val="00A3038B"/>
    <w:rsid w:val="00A40085"/>
    <w:rsid w:val="00A45278"/>
    <w:rsid w:val="00A479AA"/>
    <w:rsid w:val="00A5541A"/>
    <w:rsid w:val="00A56432"/>
    <w:rsid w:val="00A62943"/>
    <w:rsid w:val="00A63D59"/>
    <w:rsid w:val="00A673EE"/>
    <w:rsid w:val="00A80C6F"/>
    <w:rsid w:val="00A812CB"/>
    <w:rsid w:val="00A86821"/>
    <w:rsid w:val="00A86AF4"/>
    <w:rsid w:val="00A872E5"/>
    <w:rsid w:val="00A9239D"/>
    <w:rsid w:val="00AA1F96"/>
    <w:rsid w:val="00AB31D5"/>
    <w:rsid w:val="00AC1381"/>
    <w:rsid w:val="00AC1BDC"/>
    <w:rsid w:val="00AD07F5"/>
    <w:rsid w:val="00AD3E1A"/>
    <w:rsid w:val="00AE5599"/>
    <w:rsid w:val="00AE62E8"/>
    <w:rsid w:val="00AE7FD5"/>
    <w:rsid w:val="00AF7F95"/>
    <w:rsid w:val="00B0017B"/>
    <w:rsid w:val="00B00EE6"/>
    <w:rsid w:val="00B042B7"/>
    <w:rsid w:val="00B15588"/>
    <w:rsid w:val="00B200E4"/>
    <w:rsid w:val="00B2317E"/>
    <w:rsid w:val="00B25335"/>
    <w:rsid w:val="00B302B4"/>
    <w:rsid w:val="00B36E0F"/>
    <w:rsid w:val="00B42FE6"/>
    <w:rsid w:val="00B53BAC"/>
    <w:rsid w:val="00B53F61"/>
    <w:rsid w:val="00B551CA"/>
    <w:rsid w:val="00B55976"/>
    <w:rsid w:val="00B61CA7"/>
    <w:rsid w:val="00B67969"/>
    <w:rsid w:val="00B73332"/>
    <w:rsid w:val="00B76211"/>
    <w:rsid w:val="00B80D00"/>
    <w:rsid w:val="00B8218C"/>
    <w:rsid w:val="00B84771"/>
    <w:rsid w:val="00B87199"/>
    <w:rsid w:val="00B902E3"/>
    <w:rsid w:val="00B90BA5"/>
    <w:rsid w:val="00B9379D"/>
    <w:rsid w:val="00B95339"/>
    <w:rsid w:val="00BA37BB"/>
    <w:rsid w:val="00BA3DFA"/>
    <w:rsid w:val="00BA7E18"/>
    <w:rsid w:val="00BB0919"/>
    <w:rsid w:val="00BC2298"/>
    <w:rsid w:val="00BC2D1C"/>
    <w:rsid w:val="00BD4563"/>
    <w:rsid w:val="00BE25EC"/>
    <w:rsid w:val="00BE510A"/>
    <w:rsid w:val="00C01AEE"/>
    <w:rsid w:val="00C04968"/>
    <w:rsid w:val="00C1435A"/>
    <w:rsid w:val="00C3496A"/>
    <w:rsid w:val="00C41CB9"/>
    <w:rsid w:val="00C41D49"/>
    <w:rsid w:val="00C4251D"/>
    <w:rsid w:val="00C42A31"/>
    <w:rsid w:val="00C45EC9"/>
    <w:rsid w:val="00C508CD"/>
    <w:rsid w:val="00C5140E"/>
    <w:rsid w:val="00C53DAA"/>
    <w:rsid w:val="00C54A22"/>
    <w:rsid w:val="00C57972"/>
    <w:rsid w:val="00C60AC8"/>
    <w:rsid w:val="00C668C8"/>
    <w:rsid w:val="00C674B2"/>
    <w:rsid w:val="00C74E5F"/>
    <w:rsid w:val="00C84AFD"/>
    <w:rsid w:val="00C86D8B"/>
    <w:rsid w:val="00C91761"/>
    <w:rsid w:val="00C94892"/>
    <w:rsid w:val="00C95205"/>
    <w:rsid w:val="00C9719C"/>
    <w:rsid w:val="00CA0159"/>
    <w:rsid w:val="00CA0CF1"/>
    <w:rsid w:val="00CA3721"/>
    <w:rsid w:val="00CB46F8"/>
    <w:rsid w:val="00CB627C"/>
    <w:rsid w:val="00CC7597"/>
    <w:rsid w:val="00CD0CD5"/>
    <w:rsid w:val="00CE289B"/>
    <w:rsid w:val="00CE45BF"/>
    <w:rsid w:val="00CF1D70"/>
    <w:rsid w:val="00CF3491"/>
    <w:rsid w:val="00CF74FD"/>
    <w:rsid w:val="00D0157A"/>
    <w:rsid w:val="00D1114E"/>
    <w:rsid w:val="00D12D22"/>
    <w:rsid w:val="00D17422"/>
    <w:rsid w:val="00D21497"/>
    <w:rsid w:val="00D30593"/>
    <w:rsid w:val="00D30F7F"/>
    <w:rsid w:val="00D3612A"/>
    <w:rsid w:val="00D401DB"/>
    <w:rsid w:val="00D402EC"/>
    <w:rsid w:val="00D413C6"/>
    <w:rsid w:val="00D45CAE"/>
    <w:rsid w:val="00D46145"/>
    <w:rsid w:val="00D57AB9"/>
    <w:rsid w:val="00D62A93"/>
    <w:rsid w:val="00D65A7C"/>
    <w:rsid w:val="00D8357C"/>
    <w:rsid w:val="00D86F7A"/>
    <w:rsid w:val="00D921FB"/>
    <w:rsid w:val="00D93738"/>
    <w:rsid w:val="00DA11DB"/>
    <w:rsid w:val="00DA4BEB"/>
    <w:rsid w:val="00DB1D64"/>
    <w:rsid w:val="00DB31AB"/>
    <w:rsid w:val="00DB4E9C"/>
    <w:rsid w:val="00DB7230"/>
    <w:rsid w:val="00DC2CD9"/>
    <w:rsid w:val="00DC5F0D"/>
    <w:rsid w:val="00DC629E"/>
    <w:rsid w:val="00DC7F02"/>
    <w:rsid w:val="00DD660E"/>
    <w:rsid w:val="00DD6FC1"/>
    <w:rsid w:val="00DD7E6E"/>
    <w:rsid w:val="00DE1F8A"/>
    <w:rsid w:val="00DE6A66"/>
    <w:rsid w:val="00DF7401"/>
    <w:rsid w:val="00E0260C"/>
    <w:rsid w:val="00E02AA5"/>
    <w:rsid w:val="00E07B48"/>
    <w:rsid w:val="00E1334C"/>
    <w:rsid w:val="00E139F7"/>
    <w:rsid w:val="00E14464"/>
    <w:rsid w:val="00E16948"/>
    <w:rsid w:val="00E23B45"/>
    <w:rsid w:val="00E25C60"/>
    <w:rsid w:val="00E34662"/>
    <w:rsid w:val="00E42D2A"/>
    <w:rsid w:val="00E51A4F"/>
    <w:rsid w:val="00E711E6"/>
    <w:rsid w:val="00E73410"/>
    <w:rsid w:val="00E8085F"/>
    <w:rsid w:val="00E81E1A"/>
    <w:rsid w:val="00E830E8"/>
    <w:rsid w:val="00E85786"/>
    <w:rsid w:val="00E86BAF"/>
    <w:rsid w:val="00E924FA"/>
    <w:rsid w:val="00E97665"/>
    <w:rsid w:val="00EA30B0"/>
    <w:rsid w:val="00EB03E8"/>
    <w:rsid w:val="00EB07AA"/>
    <w:rsid w:val="00EB1592"/>
    <w:rsid w:val="00EB4403"/>
    <w:rsid w:val="00EB5D46"/>
    <w:rsid w:val="00EB6140"/>
    <w:rsid w:val="00EB6195"/>
    <w:rsid w:val="00EB630B"/>
    <w:rsid w:val="00EC15AD"/>
    <w:rsid w:val="00EC5BF4"/>
    <w:rsid w:val="00EC75B8"/>
    <w:rsid w:val="00EE2A74"/>
    <w:rsid w:val="00EF3991"/>
    <w:rsid w:val="00EF5D6D"/>
    <w:rsid w:val="00F04CF4"/>
    <w:rsid w:val="00F110E9"/>
    <w:rsid w:val="00F11689"/>
    <w:rsid w:val="00F24583"/>
    <w:rsid w:val="00F25771"/>
    <w:rsid w:val="00F271AF"/>
    <w:rsid w:val="00F31397"/>
    <w:rsid w:val="00F45AD3"/>
    <w:rsid w:val="00F45FBD"/>
    <w:rsid w:val="00F46FF8"/>
    <w:rsid w:val="00F53EA5"/>
    <w:rsid w:val="00F62924"/>
    <w:rsid w:val="00F64375"/>
    <w:rsid w:val="00F64A98"/>
    <w:rsid w:val="00F70EAA"/>
    <w:rsid w:val="00F71CB6"/>
    <w:rsid w:val="00F73319"/>
    <w:rsid w:val="00F74D93"/>
    <w:rsid w:val="00F752A8"/>
    <w:rsid w:val="00F753BF"/>
    <w:rsid w:val="00F75ADE"/>
    <w:rsid w:val="00F80BF6"/>
    <w:rsid w:val="00F87AE2"/>
    <w:rsid w:val="00F9204F"/>
    <w:rsid w:val="00F927EF"/>
    <w:rsid w:val="00FA2320"/>
    <w:rsid w:val="00FA3AB7"/>
    <w:rsid w:val="00FA5C8E"/>
    <w:rsid w:val="00FA678B"/>
    <w:rsid w:val="00FB15E8"/>
    <w:rsid w:val="00FB4DDA"/>
    <w:rsid w:val="00FB5370"/>
    <w:rsid w:val="00FB5632"/>
    <w:rsid w:val="00FC68FB"/>
    <w:rsid w:val="00FD0099"/>
    <w:rsid w:val="00FD06FF"/>
    <w:rsid w:val="00FD43A4"/>
    <w:rsid w:val="00FE5773"/>
    <w:rsid w:val="00FE78C4"/>
    <w:rsid w:val="00FF2260"/>
    <w:rsid w:val="00FF3EA2"/>
    <w:rsid w:val="150EBF48"/>
    <w:rsid w:val="6C421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CFA338"/>
  <w15:docId w15:val="{8F6DD57A-F384-4223-A3F1-7C89D99D1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896"/>
  </w:style>
  <w:style w:type="paragraph" w:styleId="Heading1">
    <w:name w:val="heading 1"/>
    <w:basedOn w:val="Normal"/>
    <w:next w:val="Normal"/>
    <w:link w:val="Heading1Char"/>
    <w:uiPriority w:val="9"/>
    <w:qFormat/>
    <w:rsid w:val="00AF620E"/>
    <w:pPr>
      <w:keepNext/>
      <w:widowControl w:val="0"/>
      <w:numPr>
        <w:numId w:val="3"/>
      </w:numPr>
      <w:adjustRightInd w:val="0"/>
      <w:spacing w:before="240" w:after="60"/>
      <w:outlineLvl w:val="0"/>
    </w:pPr>
    <w:rPr>
      <w:rFonts w:cs="Arial"/>
      <w:bCs/>
      <w:kern w:val="32"/>
      <w:u w:val="single"/>
    </w:rPr>
  </w:style>
  <w:style w:type="paragraph" w:styleId="Heading2">
    <w:name w:val="heading 2"/>
    <w:basedOn w:val="Normal"/>
    <w:next w:val="Normal"/>
    <w:link w:val="Heading2Char"/>
    <w:uiPriority w:val="9"/>
    <w:unhideWhenUsed/>
    <w:qFormat/>
    <w:rsid w:val="00AF620E"/>
    <w:pPr>
      <w:keepNext/>
      <w:widowControl w:val="0"/>
      <w:numPr>
        <w:ilvl w:val="1"/>
        <w:numId w:val="3"/>
      </w:numPr>
      <w:adjustRightInd w:val="0"/>
      <w:spacing w:before="240" w:after="60"/>
      <w:ind w:left="0"/>
      <w:outlineLvl w:val="1"/>
    </w:pPr>
    <w:rPr>
      <w:rFonts w:cs="Arial"/>
      <w:bCs/>
      <w:iCs/>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unhideWhenUsed/>
    <w:qFormat/>
    <w:rsid w:val="00AA49D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Paragraph2">
    <w:name w:val="Paragraph 2"/>
    <w:basedOn w:val="DefaultParagraphFont"/>
    <w:rPr>
      <w:rFonts w:ascii="Times New Roman" w:hAnsi="Times New Roman"/>
      <w:color w:val="auto"/>
      <w:sz w:val="24"/>
      <w:szCs w:val="24"/>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paragraph" w:styleId="ListParagraph">
    <w:name w:val="List Paragraph"/>
    <w:basedOn w:val="Normal"/>
    <w:uiPriority w:val="34"/>
    <w:qFormat/>
    <w:rsid w:val="00DC4C4D"/>
    <w:pPr>
      <w:ind w:left="720"/>
      <w:contextualSpacing/>
    </w:pPr>
  </w:style>
  <w:style w:type="character" w:customStyle="1" w:styleId="Heading1Char">
    <w:name w:val="Heading 1 Char"/>
    <w:basedOn w:val="DefaultParagraphFont"/>
    <w:link w:val="Heading1"/>
    <w:rsid w:val="00AF620E"/>
    <w:rPr>
      <w:rFonts w:cs="Arial"/>
      <w:bCs/>
      <w:kern w:val="32"/>
      <w:sz w:val="24"/>
      <w:szCs w:val="24"/>
      <w:u w:val="single"/>
    </w:rPr>
  </w:style>
  <w:style w:type="character" w:customStyle="1" w:styleId="Heading2Char">
    <w:name w:val="Heading 2 Char"/>
    <w:basedOn w:val="DefaultParagraphFont"/>
    <w:link w:val="Heading2"/>
    <w:uiPriority w:val="9"/>
    <w:rsid w:val="00AF620E"/>
    <w:rPr>
      <w:rFonts w:cs="Arial"/>
      <w:bCs/>
      <w:iCs/>
      <w:sz w:val="24"/>
      <w:szCs w:val="24"/>
    </w:rPr>
  </w:style>
  <w:style w:type="character" w:customStyle="1" w:styleId="CommentTextChar">
    <w:name w:val="Comment Text Char"/>
    <w:basedOn w:val="DefaultParagraphFont"/>
    <w:link w:val="CommentText"/>
    <w:rsid w:val="00AF620E"/>
  </w:style>
  <w:style w:type="paragraph" w:styleId="FootnoteText">
    <w:name w:val="footnote text"/>
    <w:basedOn w:val="Normal"/>
    <w:link w:val="FootnoteTextChar"/>
    <w:uiPriority w:val="99"/>
    <w:semiHidden/>
    <w:unhideWhenUsed/>
    <w:rsid w:val="00AA49DB"/>
    <w:rPr>
      <w:sz w:val="20"/>
      <w:szCs w:val="20"/>
    </w:rPr>
  </w:style>
  <w:style w:type="character" w:customStyle="1" w:styleId="FootnoteTextChar">
    <w:name w:val="Footnote Text Char"/>
    <w:basedOn w:val="DefaultParagraphFont"/>
    <w:link w:val="FootnoteText"/>
    <w:uiPriority w:val="99"/>
    <w:semiHidden/>
    <w:rsid w:val="00AA49DB"/>
  </w:style>
  <w:style w:type="character" w:styleId="FootnoteReference">
    <w:name w:val="footnote reference"/>
    <w:basedOn w:val="DefaultParagraphFont"/>
    <w:semiHidden/>
    <w:unhideWhenUsed/>
    <w:rsid w:val="00AA49DB"/>
    <w:rPr>
      <w:vertAlign w:val="superscript"/>
    </w:rPr>
  </w:style>
  <w:style w:type="character" w:customStyle="1" w:styleId="Heading4Char">
    <w:name w:val="Heading 4 Char"/>
    <w:basedOn w:val="DefaultParagraphFont"/>
    <w:link w:val="Heading4"/>
    <w:uiPriority w:val="9"/>
    <w:rsid w:val="00AA49DB"/>
    <w:rPr>
      <w:rFonts w:asciiTheme="majorHAnsi" w:eastAsiaTheme="majorEastAsia" w:hAnsiTheme="majorHAnsi" w:cstheme="majorBidi"/>
      <w:i/>
      <w:iCs/>
      <w:color w:val="365F91" w:themeColor="accent1" w:themeShade="BF"/>
      <w:sz w:val="24"/>
      <w:szCs w:val="24"/>
    </w:rPr>
  </w:style>
  <w:style w:type="paragraph" w:styleId="BodyText">
    <w:name w:val="Body Text"/>
    <w:aliases w:val="bt"/>
    <w:basedOn w:val="Normal"/>
    <w:link w:val="BodyTextChar"/>
    <w:qFormat/>
    <w:rsid w:val="00AA49DB"/>
    <w:pPr>
      <w:spacing w:after="240"/>
    </w:pPr>
    <w:rPr>
      <w:rFonts w:asciiTheme="minorHAnsi" w:eastAsiaTheme="minorHAnsi" w:hAnsiTheme="minorHAnsi" w:cstheme="minorBidi"/>
    </w:rPr>
  </w:style>
  <w:style w:type="character" w:customStyle="1" w:styleId="BodyTextChar">
    <w:name w:val="Body Text Char"/>
    <w:aliases w:val="bt Char"/>
    <w:basedOn w:val="DefaultParagraphFont"/>
    <w:link w:val="BodyText"/>
    <w:rsid w:val="00AA49DB"/>
    <w:rPr>
      <w:rFonts w:asciiTheme="minorHAnsi" w:eastAsiaTheme="minorHAnsi" w:hAnsiTheme="minorHAnsi" w:cstheme="minorBidi"/>
      <w:sz w:val="24"/>
      <w:szCs w:val="24"/>
    </w:rPr>
  </w:style>
  <w:style w:type="numbering" w:customStyle="1" w:styleId="CovingtonHeadings">
    <w:name w:val="CovingtonHeadings"/>
    <w:rsid w:val="00AA49DB"/>
  </w:style>
  <w:style w:type="character" w:styleId="Strong">
    <w:name w:val="Strong"/>
    <w:basedOn w:val="DefaultParagraphFont"/>
    <w:uiPriority w:val="22"/>
    <w:qFormat/>
    <w:rsid w:val="00AA49DB"/>
    <w:rPr>
      <w:b/>
      <w:bCs/>
    </w:rPr>
  </w:style>
  <w:style w:type="character" w:styleId="Hyperlink">
    <w:name w:val="Hyperlink"/>
    <w:basedOn w:val="DefaultParagraphFont"/>
    <w:uiPriority w:val="99"/>
    <w:unhideWhenUsed/>
    <w:rsid w:val="00F04CF4"/>
    <w:rPr>
      <w:color w:val="0000FF"/>
      <w:u w:val="single"/>
    </w:rPr>
  </w:style>
  <w:style w:type="character" w:customStyle="1" w:styleId="normaltextrun">
    <w:name w:val="normaltextrun"/>
    <w:basedOn w:val="DefaultParagraphFont"/>
    <w:rsid w:val="00CD54C9"/>
  </w:style>
  <w:style w:type="paragraph" w:styleId="NormalWeb">
    <w:name w:val="Normal (Web)"/>
    <w:basedOn w:val="Normal"/>
    <w:uiPriority w:val="99"/>
    <w:unhideWhenUsed/>
    <w:rsid w:val="001D25F2"/>
    <w:pPr>
      <w:spacing w:before="100" w:beforeAutospacing="1" w:after="100" w:afterAutospacing="1"/>
    </w:pPr>
    <w:rPr>
      <w:rFonts w:ascii="Calibri" w:eastAsiaTheme="minorHAnsi" w:hAnsi="Calibri" w:cs="Calibri"/>
      <w:sz w:val="22"/>
      <w:szCs w:val="22"/>
    </w:rPr>
  </w:style>
  <w:style w:type="character" w:styleId="Emphasis">
    <w:name w:val="Emphasis"/>
    <w:basedOn w:val="DefaultParagraphFont"/>
    <w:uiPriority w:val="20"/>
    <w:qFormat/>
    <w:rsid w:val="001D25F2"/>
    <w:rPr>
      <w:i/>
      <w:iCs/>
    </w:rPr>
  </w:style>
  <w:style w:type="character" w:customStyle="1" w:styleId="FooterChar">
    <w:name w:val="Footer Char"/>
    <w:basedOn w:val="DefaultParagraphFont"/>
    <w:link w:val="Footer"/>
    <w:uiPriority w:val="99"/>
    <w:rsid w:val="0092262D"/>
    <w:rPr>
      <w:sz w:val="24"/>
      <w:szCs w:val="24"/>
    </w:rPr>
  </w:style>
  <w:style w:type="paragraph" w:styleId="Revision">
    <w:name w:val="Revision"/>
    <w:hidden/>
    <w:uiPriority w:val="99"/>
    <w:semiHidden/>
    <w:rsid w:val="00CF6371"/>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widowControl w:val="0"/>
    </w:pPr>
    <w:tblPr>
      <w:tblStyleRowBandSize w:val="1"/>
      <w:tblStyleColBandSize w:val="1"/>
      <w:tblCellMar>
        <w:left w:w="115" w:type="dxa"/>
        <w:right w:w="115" w:type="dxa"/>
      </w:tblCellMar>
    </w:tblPr>
  </w:style>
  <w:style w:type="table" w:customStyle="1" w:styleId="a1">
    <w:basedOn w:val="TableNormal"/>
    <w:pPr>
      <w:widowControl w:val="0"/>
    </w:pPr>
    <w:tblPr>
      <w:tblStyleRowBandSize w:val="1"/>
      <w:tblStyleColBandSize w:val="1"/>
      <w:tblCellMar>
        <w:left w:w="115" w:type="dxa"/>
        <w:right w:w="115" w:type="dxa"/>
      </w:tblCellMar>
    </w:tblPr>
  </w:style>
  <w:style w:type="table" w:customStyle="1" w:styleId="a2">
    <w:basedOn w:val="TableNormal"/>
    <w:pPr>
      <w:widowControl w:val="0"/>
    </w:pPr>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pPr>
      <w:widowControl w:val="0"/>
    </w:pPr>
    <w:tblPr>
      <w:tblStyleRowBandSize w:val="1"/>
      <w:tblStyleColBandSize w:val="1"/>
      <w:tblCellMar>
        <w:top w:w="100" w:type="dxa"/>
        <w:left w:w="100" w:type="dxa"/>
        <w:bottom w:w="100" w:type="dxa"/>
        <w:right w:w="100" w:type="dxa"/>
      </w:tblCellMar>
    </w:tblPr>
  </w:style>
  <w:style w:type="table" w:customStyle="1" w:styleId="a5">
    <w:basedOn w:val="TableNormal"/>
    <w:pPr>
      <w:widowControl w:val="0"/>
    </w:pPr>
    <w:tblPr>
      <w:tblStyleRowBandSize w:val="1"/>
      <w:tblStyleColBandSize w:val="1"/>
      <w:tblCellMar>
        <w:top w:w="100" w:type="dxa"/>
        <w:left w:w="100" w:type="dxa"/>
        <w:bottom w:w="100" w:type="dxa"/>
        <w:right w:w="100" w:type="dxa"/>
      </w:tblCellMar>
    </w:tblPr>
  </w:style>
  <w:style w:type="table" w:customStyle="1" w:styleId="a6">
    <w:basedOn w:val="TableNormal"/>
    <w:pPr>
      <w:widowControl w:val="0"/>
    </w:pPr>
    <w:tblPr>
      <w:tblStyleRowBandSize w:val="1"/>
      <w:tblStyleColBandSize w:val="1"/>
      <w:tblCellMar>
        <w:top w:w="100" w:type="dxa"/>
        <w:left w:w="100" w:type="dxa"/>
        <w:bottom w:w="100" w:type="dxa"/>
        <w:right w:w="100" w:type="dxa"/>
      </w:tblCellMar>
    </w:tblPr>
  </w:style>
  <w:style w:type="table" w:customStyle="1" w:styleId="a7">
    <w:basedOn w:val="TableNormal"/>
    <w:pPr>
      <w:widowControl w:val="0"/>
    </w:pPr>
    <w:tblPr>
      <w:tblStyleRowBandSize w:val="1"/>
      <w:tblStyleColBandSize w:val="1"/>
      <w:tblCellMar>
        <w:top w:w="100" w:type="dxa"/>
        <w:left w:w="100" w:type="dxa"/>
        <w:bottom w:w="100" w:type="dxa"/>
        <w:right w:w="100" w:type="dxa"/>
      </w:tblCellMar>
    </w:tblPr>
  </w:style>
  <w:style w:type="paragraph" w:customStyle="1" w:styleId="pf0">
    <w:name w:val="pf0"/>
    <w:basedOn w:val="Normal"/>
    <w:rsid w:val="00495F81"/>
    <w:pPr>
      <w:spacing w:before="100" w:beforeAutospacing="1" w:after="100" w:afterAutospacing="1"/>
    </w:pPr>
  </w:style>
  <w:style w:type="character" w:customStyle="1" w:styleId="cf01">
    <w:name w:val="cf01"/>
    <w:basedOn w:val="DefaultParagraphFont"/>
    <w:rsid w:val="00495F81"/>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rsid w:val="004E5C35"/>
    <w:rPr>
      <w:color w:val="605E5C"/>
      <w:shd w:val="clear" w:color="auto" w:fill="E1DFDD"/>
    </w:rPr>
  </w:style>
  <w:style w:type="character" w:customStyle="1" w:styleId="UnresolvedMention2">
    <w:name w:val="Unresolved Mention2"/>
    <w:basedOn w:val="DefaultParagraphFont"/>
    <w:uiPriority w:val="99"/>
    <w:semiHidden/>
    <w:unhideWhenUsed/>
    <w:rsid w:val="00DE1F8A"/>
    <w:rPr>
      <w:color w:val="605E5C"/>
      <w:shd w:val="clear" w:color="auto" w:fill="E1DFDD"/>
    </w:rPr>
  </w:style>
  <w:style w:type="character" w:customStyle="1" w:styleId="UnresolvedMention3">
    <w:name w:val="Unresolved Mention3"/>
    <w:basedOn w:val="DefaultParagraphFont"/>
    <w:uiPriority w:val="99"/>
    <w:semiHidden/>
    <w:unhideWhenUsed/>
    <w:rsid w:val="0077561F"/>
    <w:rPr>
      <w:color w:val="605E5C"/>
      <w:shd w:val="clear" w:color="auto" w:fill="E1DFDD"/>
    </w:rPr>
  </w:style>
  <w:style w:type="character" w:customStyle="1" w:styleId="cf11">
    <w:name w:val="cf11"/>
    <w:basedOn w:val="DefaultParagraphFont"/>
    <w:rsid w:val="00B302B4"/>
    <w:rPr>
      <w:rFonts w:ascii="Segoe UI" w:hAnsi="Segoe UI" w:cs="Segoe UI" w:hint="default"/>
      <w:color w:val="333333"/>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3518">
      <w:bodyDiv w:val="1"/>
      <w:marLeft w:val="0"/>
      <w:marRight w:val="0"/>
      <w:marTop w:val="0"/>
      <w:marBottom w:val="0"/>
      <w:divBdr>
        <w:top w:val="none" w:sz="0" w:space="0" w:color="auto"/>
        <w:left w:val="none" w:sz="0" w:space="0" w:color="auto"/>
        <w:bottom w:val="none" w:sz="0" w:space="0" w:color="auto"/>
        <w:right w:val="none" w:sz="0" w:space="0" w:color="auto"/>
      </w:divBdr>
    </w:div>
    <w:div w:id="86268134">
      <w:bodyDiv w:val="1"/>
      <w:marLeft w:val="0"/>
      <w:marRight w:val="0"/>
      <w:marTop w:val="0"/>
      <w:marBottom w:val="0"/>
      <w:divBdr>
        <w:top w:val="none" w:sz="0" w:space="0" w:color="auto"/>
        <w:left w:val="none" w:sz="0" w:space="0" w:color="auto"/>
        <w:bottom w:val="none" w:sz="0" w:space="0" w:color="auto"/>
        <w:right w:val="none" w:sz="0" w:space="0" w:color="auto"/>
      </w:divBdr>
    </w:div>
    <w:div w:id="409694324">
      <w:bodyDiv w:val="1"/>
      <w:marLeft w:val="0"/>
      <w:marRight w:val="0"/>
      <w:marTop w:val="0"/>
      <w:marBottom w:val="0"/>
      <w:divBdr>
        <w:top w:val="none" w:sz="0" w:space="0" w:color="auto"/>
        <w:left w:val="none" w:sz="0" w:space="0" w:color="auto"/>
        <w:bottom w:val="none" w:sz="0" w:space="0" w:color="auto"/>
        <w:right w:val="none" w:sz="0" w:space="0" w:color="auto"/>
      </w:divBdr>
    </w:div>
    <w:div w:id="450634772">
      <w:bodyDiv w:val="1"/>
      <w:marLeft w:val="0"/>
      <w:marRight w:val="0"/>
      <w:marTop w:val="0"/>
      <w:marBottom w:val="0"/>
      <w:divBdr>
        <w:top w:val="none" w:sz="0" w:space="0" w:color="auto"/>
        <w:left w:val="none" w:sz="0" w:space="0" w:color="auto"/>
        <w:bottom w:val="none" w:sz="0" w:space="0" w:color="auto"/>
        <w:right w:val="none" w:sz="0" w:space="0" w:color="auto"/>
      </w:divBdr>
    </w:div>
    <w:div w:id="488910082">
      <w:bodyDiv w:val="1"/>
      <w:marLeft w:val="0"/>
      <w:marRight w:val="0"/>
      <w:marTop w:val="0"/>
      <w:marBottom w:val="0"/>
      <w:divBdr>
        <w:top w:val="none" w:sz="0" w:space="0" w:color="auto"/>
        <w:left w:val="none" w:sz="0" w:space="0" w:color="auto"/>
        <w:bottom w:val="none" w:sz="0" w:space="0" w:color="auto"/>
        <w:right w:val="none" w:sz="0" w:space="0" w:color="auto"/>
      </w:divBdr>
    </w:div>
    <w:div w:id="689722204">
      <w:bodyDiv w:val="1"/>
      <w:marLeft w:val="0"/>
      <w:marRight w:val="0"/>
      <w:marTop w:val="0"/>
      <w:marBottom w:val="0"/>
      <w:divBdr>
        <w:top w:val="none" w:sz="0" w:space="0" w:color="auto"/>
        <w:left w:val="none" w:sz="0" w:space="0" w:color="auto"/>
        <w:bottom w:val="none" w:sz="0" w:space="0" w:color="auto"/>
        <w:right w:val="none" w:sz="0" w:space="0" w:color="auto"/>
      </w:divBdr>
    </w:div>
    <w:div w:id="1096708559">
      <w:bodyDiv w:val="1"/>
      <w:marLeft w:val="0"/>
      <w:marRight w:val="0"/>
      <w:marTop w:val="0"/>
      <w:marBottom w:val="0"/>
      <w:divBdr>
        <w:top w:val="none" w:sz="0" w:space="0" w:color="auto"/>
        <w:left w:val="none" w:sz="0" w:space="0" w:color="auto"/>
        <w:bottom w:val="none" w:sz="0" w:space="0" w:color="auto"/>
        <w:right w:val="none" w:sz="0" w:space="0" w:color="auto"/>
      </w:divBdr>
    </w:div>
    <w:div w:id="1815175360">
      <w:bodyDiv w:val="1"/>
      <w:marLeft w:val="0"/>
      <w:marRight w:val="0"/>
      <w:marTop w:val="0"/>
      <w:marBottom w:val="0"/>
      <w:divBdr>
        <w:top w:val="none" w:sz="0" w:space="0" w:color="auto"/>
        <w:left w:val="none" w:sz="0" w:space="0" w:color="auto"/>
        <w:bottom w:val="none" w:sz="0" w:space="0" w:color="auto"/>
        <w:right w:val="none" w:sz="0" w:space="0" w:color="auto"/>
      </w:divBdr>
    </w:div>
    <w:div w:id="19632223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echtransferVCstartups@gmai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techtransferVCstartups@gmail.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adr.org/sites/default/files/document_repository/AAA197_Arbitration_Road_Map.pdf"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awinsider.com/clause/royalty-stackin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nvca.org/model-legal-docu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go:docsCustomData xmlns:go="http://customooxmlschemas.google.com/" roundtripDataSignature="AMtx7mjwGRIzGjM9PsH7WPqYpdvoxZ79Jw==">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</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3CE1BD5A562CB4B82EC65E39C99AF6A" ma:contentTypeVersion="10" ma:contentTypeDescription="Create a new document." ma:contentTypeScope="" ma:versionID="1408953d9f3bfd0f5de65e22ca952fd0">
  <xsd:schema xmlns:xsd="http://www.w3.org/2001/XMLSchema" xmlns:xs="http://www.w3.org/2001/XMLSchema" xmlns:p="http://schemas.microsoft.com/office/2006/metadata/properties" xmlns:ns2="9c0a36f1-4d58-430e-8449-b0eaaf5fe206" xmlns:ns3="37e6111b-6a63-4681-b603-c7bc9a020fd3" targetNamespace="http://schemas.microsoft.com/office/2006/metadata/properties" ma:root="true" ma:fieldsID="c24e7f1c0e4b0a231673f6912f13a3c4" ns2:_="" ns3:_="">
    <xsd:import namespace="9c0a36f1-4d58-430e-8449-b0eaaf5fe206"/>
    <xsd:import namespace="37e6111b-6a63-4681-b603-c7bc9a020f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0a36f1-4d58-430e-8449-b0eaaf5fe2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e6111b-6a63-4681-b603-c7bc9a020f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DA0034-AD5C-4F9B-AD13-AD98EF818A4D}">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35117B3F-CC29-4285-AAFE-4A13561AB7C3}">
  <ds:schemaRefs>
    <ds:schemaRef ds:uri="http://schemas.openxmlformats.org/officeDocument/2006/bibliography"/>
  </ds:schemaRefs>
</ds:datastoreItem>
</file>

<file path=customXml/itemProps4.xml><?xml version="1.0" encoding="utf-8"?>
<ds:datastoreItem xmlns:ds="http://schemas.openxmlformats.org/officeDocument/2006/customXml" ds:itemID="{BC56CAE9-5ECF-4FBA-975A-7F87AE0DAF34}">
  <ds:schemaRefs>
    <ds:schemaRef ds:uri="http://schemas.microsoft.com/office/2006/metadata/properties"/>
    <ds:schemaRef ds:uri="http://schemas.microsoft.com/office/infopath/2007/PartnerControls"/>
    <ds:schemaRef ds:uri="9ad1e599-6691-4696-b21c-ec6541ac5a63"/>
    <ds:schemaRef ds:uri="c39c53fc-ca3a-4bba-a57f-55cc9afac7e0"/>
  </ds:schemaRefs>
</ds:datastoreItem>
</file>

<file path=customXml/itemProps5.xml><?xml version="1.0" encoding="utf-8"?>
<ds:datastoreItem xmlns:ds="http://schemas.openxmlformats.org/officeDocument/2006/customXml" ds:itemID="{BD66A64C-0C49-4476-B9B1-0060E4157C9E}"/>
</file>

<file path=docProps/app.xml><?xml version="1.0" encoding="utf-8"?>
<Properties xmlns="http://schemas.openxmlformats.org/officeDocument/2006/extended-properties" xmlns:vt="http://schemas.openxmlformats.org/officeDocument/2006/docPropsVTypes">
  <Template>Normal</Template>
  <TotalTime>2</TotalTime>
  <Pages>22</Pages>
  <Words>8343</Words>
  <Characters>47561</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Reed</dc:creator>
  <cp:lastModifiedBy>Orin Herskowitz</cp:lastModifiedBy>
  <cp:revision>2</cp:revision>
  <cp:lastPrinted>2022-11-21T23:38:00Z</cp:lastPrinted>
  <dcterms:created xsi:type="dcterms:W3CDTF">2023-12-29T20:54:00Z</dcterms:created>
  <dcterms:modified xsi:type="dcterms:W3CDTF">2023-12-29T20:54:00Z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0x01010083CE1BD5A562CB4B82EC65E39C99AF6A</vt:lpwstr>
  </property>
  <property fmtid="{D5CDD505-2E9C-101B-9397-08002B2CF9AE}" pid="3" name="Order">
    <vt:r8>4900</vt:r8>
  </property>
</Properties>
</file>